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EB" w:rsidRDefault="002B1DE6" w:rsidP="008E2B11">
      <w:pPr>
        <w:pStyle w:val="NormalWeb"/>
        <w:spacing w:before="0" w:beforeAutospacing="0" w:after="0" w:afterAutospacing="0"/>
        <w:ind w:left="-567" w:right="-568"/>
        <w:jc w:val="center"/>
        <w:rPr>
          <w:b/>
          <w:bCs/>
          <w:sz w:val="32"/>
          <w:u w:val="single"/>
        </w:rPr>
      </w:pPr>
      <w:bookmarkStart w:id="0" w:name="_GoBack"/>
      <w:bookmarkEnd w:id="0"/>
      <w:r>
        <w:rPr>
          <w:b/>
          <w:bCs/>
          <w:sz w:val="32"/>
          <w:u w:val="single"/>
        </w:rPr>
        <w:t xml:space="preserve">SURVMETH </w:t>
      </w:r>
      <w:r w:rsidRPr="00BA1168">
        <w:rPr>
          <w:b/>
          <w:bCs/>
          <w:sz w:val="32"/>
          <w:u w:val="single"/>
        </w:rPr>
        <w:t>988.</w:t>
      </w:r>
      <w:r w:rsidR="00230437">
        <w:rPr>
          <w:b/>
          <w:bCs/>
          <w:sz w:val="32"/>
          <w:u w:val="single"/>
        </w:rPr>
        <w:t>0</w:t>
      </w:r>
      <w:r w:rsidR="00BA1168" w:rsidRPr="00BA1168">
        <w:rPr>
          <w:b/>
          <w:bCs/>
          <w:sz w:val="32"/>
          <w:u w:val="single"/>
        </w:rPr>
        <w:t>21</w:t>
      </w:r>
      <w:r w:rsidRPr="00BA1168">
        <w:rPr>
          <w:b/>
          <w:bCs/>
          <w:sz w:val="32"/>
          <w:u w:val="single"/>
        </w:rPr>
        <w:t xml:space="preserve">: </w:t>
      </w:r>
      <w:r w:rsidR="00A626F0" w:rsidRPr="00BA1168">
        <w:rPr>
          <w:b/>
          <w:bCs/>
          <w:sz w:val="32"/>
          <w:u w:val="single"/>
        </w:rPr>
        <w:t xml:space="preserve">Intermediate </w:t>
      </w:r>
      <w:r w:rsidR="006D6FEB">
        <w:rPr>
          <w:b/>
          <w:bCs/>
          <w:sz w:val="32"/>
          <w:u w:val="single"/>
        </w:rPr>
        <w:t>Questionnaire Design</w:t>
      </w:r>
    </w:p>
    <w:p w:rsidR="00530E7C" w:rsidRDefault="00530E7C" w:rsidP="008E2B11">
      <w:pPr>
        <w:pStyle w:val="NormalWeb"/>
        <w:spacing w:before="0" w:beforeAutospacing="0" w:after="0" w:afterAutospacing="0"/>
        <w:ind w:left="-567" w:right="-568"/>
        <w:jc w:val="center"/>
      </w:pPr>
      <w:r>
        <w:t>Summer Institute in Survey Research Techniques, 20</w:t>
      </w:r>
      <w:r w:rsidR="00A626F0">
        <w:t>2</w:t>
      </w:r>
      <w:r w:rsidR="00614622">
        <w:t>1</w:t>
      </w:r>
    </w:p>
    <w:p w:rsidR="00530E7C" w:rsidRDefault="00530E7C" w:rsidP="008E2B11">
      <w:pPr>
        <w:pStyle w:val="NormalWeb"/>
        <w:spacing w:before="0" w:beforeAutospacing="0" w:after="0" w:afterAutospacing="0"/>
        <w:ind w:left="-567" w:right="-568"/>
        <w:jc w:val="center"/>
        <w:rPr>
          <w:b/>
          <w:bCs/>
          <w:sz w:val="32"/>
          <w:u w:val="single"/>
        </w:rPr>
      </w:pPr>
    </w:p>
    <w:p w:rsidR="00530E7C" w:rsidRDefault="00530E7C" w:rsidP="008E2B11">
      <w:pPr>
        <w:pStyle w:val="NormalWeb"/>
        <w:spacing w:before="0" w:beforeAutospacing="0" w:after="0" w:afterAutospacing="0"/>
        <w:ind w:left="-567" w:right="-568"/>
        <w:jc w:val="both"/>
        <w:rPr>
          <w:b/>
          <w:bCs/>
          <w:sz w:val="32"/>
        </w:rPr>
      </w:pPr>
      <w:r>
        <w:rPr>
          <w:b/>
          <w:bCs/>
          <w:sz w:val="32"/>
        </w:rPr>
        <w:t>Instructor: Dr. Pamela Campanelli</w:t>
      </w:r>
    </w:p>
    <w:p w:rsidR="00A626F0" w:rsidRPr="00320D8C" w:rsidRDefault="00A626F0" w:rsidP="008E2B11">
      <w:pPr>
        <w:pStyle w:val="NormalWeb"/>
        <w:spacing w:before="0" w:beforeAutospacing="0" w:after="0" w:afterAutospacing="0"/>
        <w:ind w:left="-567" w:right="-568"/>
        <w:rPr>
          <w:sz w:val="16"/>
          <w:szCs w:val="16"/>
        </w:rPr>
      </w:pPr>
    </w:p>
    <w:p w:rsidR="00530E7C" w:rsidRPr="009F6641" w:rsidRDefault="00530E7C" w:rsidP="008E2B11">
      <w:pPr>
        <w:pStyle w:val="NormalWeb"/>
        <w:spacing w:before="0" w:beforeAutospacing="0" w:after="0" w:afterAutospacing="0"/>
        <w:ind w:left="-567" w:right="-568"/>
      </w:pPr>
      <w:r>
        <w:t>Time:</w:t>
      </w:r>
      <w:r>
        <w:tab/>
      </w:r>
      <w:r>
        <w:tab/>
      </w:r>
      <w:r w:rsidR="00406654">
        <w:t xml:space="preserve">4 days, </w:t>
      </w:r>
      <w:r w:rsidR="008C5E2F">
        <w:t>19</w:t>
      </w:r>
      <w:r w:rsidR="00406654">
        <w:t xml:space="preserve">, 20, 21 &amp; </w:t>
      </w:r>
      <w:r w:rsidR="00635FEF">
        <w:t>2</w:t>
      </w:r>
      <w:r w:rsidR="008C5E2F">
        <w:t>2</w:t>
      </w:r>
      <w:r w:rsidR="00635FEF">
        <w:t xml:space="preserve"> July</w:t>
      </w:r>
      <w:r w:rsidRPr="007518F6">
        <w:t xml:space="preserve">, </w:t>
      </w:r>
      <w:r w:rsidR="00406654">
        <w:t>8.3</w:t>
      </w:r>
      <w:r w:rsidR="00635FEF">
        <w:t>0-12.00</w:t>
      </w:r>
    </w:p>
    <w:p w:rsidR="00530E7C" w:rsidRPr="00320D8C" w:rsidRDefault="00530E7C" w:rsidP="008E2B11">
      <w:pPr>
        <w:pStyle w:val="NormalWeb"/>
        <w:spacing w:before="0" w:beforeAutospacing="0" w:after="0" w:afterAutospacing="0"/>
        <w:ind w:left="-567" w:right="-568"/>
        <w:jc w:val="both"/>
        <w:rPr>
          <w:sz w:val="16"/>
          <w:szCs w:val="16"/>
        </w:rPr>
      </w:pPr>
    </w:p>
    <w:p w:rsidR="00530E7C" w:rsidRPr="00BA1168" w:rsidRDefault="00530E7C" w:rsidP="008E2B11">
      <w:pPr>
        <w:pStyle w:val="NormalWeb"/>
        <w:spacing w:before="0" w:beforeAutospacing="0" w:after="0" w:afterAutospacing="0"/>
        <w:ind w:left="-567" w:right="-568"/>
        <w:jc w:val="both"/>
      </w:pPr>
      <w:r>
        <w:t>Location:</w:t>
      </w:r>
      <w:r>
        <w:tab/>
      </w:r>
      <w:r>
        <w:tab/>
      </w:r>
      <w:r w:rsidR="00BA1168" w:rsidRPr="00BA1168">
        <w:t>Online</w:t>
      </w:r>
      <w:r w:rsidR="000A37E2">
        <w:t xml:space="preserve"> via Zoom</w:t>
      </w:r>
    </w:p>
    <w:p w:rsidR="00530E7C" w:rsidRPr="00320D8C" w:rsidRDefault="00530E7C" w:rsidP="008E2B11">
      <w:pPr>
        <w:pStyle w:val="NormalWeb"/>
        <w:spacing w:before="0" w:beforeAutospacing="0" w:after="0" w:afterAutospacing="0"/>
        <w:ind w:left="-567" w:right="-568"/>
        <w:jc w:val="both"/>
        <w:rPr>
          <w:sz w:val="16"/>
          <w:szCs w:val="16"/>
        </w:rPr>
      </w:pPr>
    </w:p>
    <w:p w:rsidR="00530E7C" w:rsidRPr="00DA3D2C" w:rsidRDefault="00530E7C" w:rsidP="008E2B11">
      <w:pPr>
        <w:pStyle w:val="BodyText"/>
        <w:ind w:left="-567" w:right="-568"/>
        <w:rPr>
          <w:rStyle w:val="Hyperlink"/>
          <w:b w:val="0"/>
          <w:color w:val="auto"/>
        </w:rPr>
      </w:pPr>
      <w:r w:rsidRPr="00775083">
        <w:rPr>
          <w:b w:val="0"/>
        </w:rPr>
        <w:t>E</w:t>
      </w:r>
      <w:r>
        <w:rPr>
          <w:b w:val="0"/>
        </w:rPr>
        <w:t>-</w:t>
      </w:r>
      <w:r w:rsidRPr="00775083">
        <w:rPr>
          <w:b w:val="0"/>
        </w:rPr>
        <w:t>mail</w:t>
      </w:r>
      <w:r w:rsidRPr="00775083">
        <w:rPr>
          <w:b w:val="0"/>
        </w:rPr>
        <w:tab/>
      </w:r>
      <w:r w:rsidRPr="00775083">
        <w:rPr>
          <w:b w:val="0"/>
        </w:rPr>
        <w:tab/>
      </w:r>
      <w:hyperlink r:id="rId8" w:history="1">
        <w:r w:rsidRPr="00775083">
          <w:rPr>
            <w:rStyle w:val="Hyperlink"/>
            <w:b w:val="0"/>
          </w:rPr>
          <w:t>dr.pamela.campanelli@thesurveycoach.com</w:t>
        </w:r>
      </w:hyperlink>
    </w:p>
    <w:p w:rsidR="00530E7C" w:rsidRPr="00DA3D2C" w:rsidRDefault="00530E7C" w:rsidP="008E2B11">
      <w:pPr>
        <w:pStyle w:val="BodyText"/>
        <w:ind w:left="-567" w:right="-568"/>
        <w:rPr>
          <w:rStyle w:val="Hyperlink"/>
          <w:b w:val="0"/>
          <w:color w:val="auto"/>
          <w:sz w:val="16"/>
          <w:szCs w:val="16"/>
        </w:rPr>
      </w:pPr>
    </w:p>
    <w:p w:rsidR="00530E7C" w:rsidRPr="00A626F0" w:rsidRDefault="00530E7C" w:rsidP="008E2B11">
      <w:pPr>
        <w:pStyle w:val="BodyText"/>
        <w:ind w:left="-567" w:right="-568"/>
        <w:rPr>
          <w:b w:val="0"/>
        </w:rPr>
      </w:pPr>
      <w:r w:rsidRPr="00A626F0">
        <w:rPr>
          <w:b w:val="0"/>
        </w:rPr>
        <w:t xml:space="preserve">Cell phone: </w:t>
      </w:r>
      <w:r w:rsidRPr="00A626F0">
        <w:rPr>
          <w:b w:val="0"/>
        </w:rPr>
        <w:tab/>
      </w:r>
      <w:r w:rsidRPr="00A626F0">
        <w:rPr>
          <w:b w:val="0"/>
        </w:rPr>
        <w:tab/>
        <w:t>011 44 7803 275317</w:t>
      </w:r>
    </w:p>
    <w:p w:rsidR="00CC03ED" w:rsidRPr="007C266E" w:rsidRDefault="00CC03ED" w:rsidP="008E2B11">
      <w:pPr>
        <w:pStyle w:val="NormalWeb"/>
        <w:spacing w:before="0" w:beforeAutospacing="0" w:after="0" w:afterAutospacing="0"/>
        <w:ind w:left="-567" w:right="-568"/>
        <w:rPr>
          <w:b/>
          <w:sz w:val="28"/>
          <w:szCs w:val="28"/>
        </w:rPr>
      </w:pPr>
    </w:p>
    <w:p w:rsidR="006D6FEB" w:rsidRDefault="006D6FEB" w:rsidP="008E2B11">
      <w:pPr>
        <w:pStyle w:val="NormalWeb"/>
        <w:spacing w:before="0" w:beforeAutospacing="0" w:after="0" w:afterAutospacing="0"/>
        <w:ind w:left="-567" w:right="-568"/>
        <w:jc w:val="both"/>
        <w:rPr>
          <w:b/>
          <w:bCs/>
          <w:sz w:val="28"/>
          <w:szCs w:val="28"/>
        </w:rPr>
      </w:pPr>
      <w:r w:rsidRPr="00AD5EE7">
        <w:rPr>
          <w:b/>
          <w:bCs/>
          <w:sz w:val="28"/>
          <w:szCs w:val="28"/>
        </w:rPr>
        <w:t>Course Description:</w:t>
      </w:r>
    </w:p>
    <w:p w:rsidR="00406654" w:rsidRPr="00406654" w:rsidRDefault="00406654" w:rsidP="00406654">
      <w:pPr>
        <w:shd w:val="clear" w:color="auto" w:fill="FFFFFF"/>
        <w:spacing w:after="225"/>
        <w:ind w:left="-567"/>
        <w:rPr>
          <w:spacing w:val="-2"/>
        </w:rPr>
      </w:pPr>
      <w:r w:rsidRPr="00406654">
        <w:rPr>
          <w:spacing w:val="-2"/>
        </w:rPr>
        <w:t>This course is designed to follow on from Introduction to Questionnaire Design. Now instead of looking at question comprehension from a cognitive side, the linguistic side will be explored including online tools. Factual questions will be revisited but with the goal of exploring different types of respondent memory problems and their solutions, while also covering time anomalies in surveys and quasi facts. Subjective questions will be revisited to understand attitude consistency and inconsistency, to look at the feasibility of changing attitudes to change behavioral intentions to change behaviors and to cover the popular topic of satisfaction and other customer experience metrics. Alternatives to questionnaires will also be covered such as event history calendars, internet enabled devices, factorial surveys and multi-item scales. The course concludes with ways to translate survey questions and evaluate the translation. The course will be interactive with the goal of making it as close to in-person training as possible. There also will be workshops throughout. Pamela is happy to chat with participants about their own questionnaires.</w:t>
      </w:r>
    </w:p>
    <w:p w:rsidR="00CC03ED" w:rsidRPr="007C266E" w:rsidRDefault="00CC03ED" w:rsidP="008E2B11">
      <w:pPr>
        <w:pStyle w:val="NormalWeb"/>
        <w:spacing w:before="0" w:beforeAutospacing="0" w:after="0" w:afterAutospacing="0"/>
        <w:ind w:left="-567" w:right="-568"/>
        <w:jc w:val="both"/>
        <w:rPr>
          <w:b/>
          <w:bCs/>
          <w:sz w:val="28"/>
          <w:szCs w:val="28"/>
        </w:rPr>
      </w:pPr>
    </w:p>
    <w:p w:rsidR="006D6FEB" w:rsidRDefault="006D6FEB" w:rsidP="008E2B11">
      <w:pPr>
        <w:pStyle w:val="NormalWeb"/>
        <w:spacing w:before="0" w:beforeAutospacing="0" w:after="0" w:afterAutospacing="0"/>
        <w:ind w:left="-567" w:right="-568"/>
        <w:jc w:val="both"/>
        <w:rPr>
          <w:b/>
          <w:bCs/>
          <w:sz w:val="28"/>
          <w:szCs w:val="28"/>
        </w:rPr>
      </w:pPr>
      <w:r w:rsidRPr="00AD5EE7">
        <w:rPr>
          <w:b/>
          <w:bCs/>
          <w:sz w:val="28"/>
          <w:szCs w:val="28"/>
        </w:rPr>
        <w:t>Evaluation</w:t>
      </w:r>
      <w:r w:rsidR="00DA3D2C">
        <w:rPr>
          <w:b/>
          <w:bCs/>
          <w:sz w:val="28"/>
          <w:szCs w:val="28"/>
        </w:rPr>
        <w:t xml:space="preserve"> (For those taking the course for credit)</w:t>
      </w:r>
      <w:r w:rsidRPr="00AD5EE7">
        <w:rPr>
          <w:b/>
          <w:bCs/>
          <w:sz w:val="28"/>
          <w:szCs w:val="28"/>
        </w:rPr>
        <w:t>:</w:t>
      </w:r>
    </w:p>
    <w:p w:rsidR="00530E7C" w:rsidRDefault="00530E7C" w:rsidP="008E2B11">
      <w:pPr>
        <w:pStyle w:val="BodyText"/>
        <w:ind w:left="-567" w:right="-568"/>
        <w:rPr>
          <w:b w:val="0"/>
          <w:bCs w:val="0"/>
        </w:rPr>
      </w:pPr>
      <w:r>
        <w:rPr>
          <w:b w:val="0"/>
          <w:bCs w:val="0"/>
        </w:rPr>
        <w:t xml:space="preserve">Grading for the course will be based on a take-home assignment due 2 weeks after the last day of class.  </w:t>
      </w:r>
      <w:r w:rsidR="000A37E2">
        <w:rPr>
          <w:b w:val="0"/>
          <w:bCs w:val="0"/>
        </w:rPr>
        <w:t xml:space="preserve">The exam will tap into </w:t>
      </w:r>
      <w:r w:rsidR="00230437">
        <w:rPr>
          <w:b w:val="0"/>
          <w:bCs w:val="0"/>
        </w:rPr>
        <w:t>your</w:t>
      </w:r>
      <w:r w:rsidR="000A37E2">
        <w:rPr>
          <w:b w:val="0"/>
          <w:bCs w:val="0"/>
        </w:rPr>
        <w:t xml:space="preserve"> practical knowledge from the course as well as your </w:t>
      </w:r>
      <w:r>
        <w:rPr>
          <w:b w:val="0"/>
          <w:bCs w:val="0"/>
        </w:rPr>
        <w:t>knowledge of the required readings.</w:t>
      </w:r>
    </w:p>
    <w:p w:rsidR="006D6FEB" w:rsidRPr="007C266E" w:rsidRDefault="006D6FEB" w:rsidP="008E2B11">
      <w:pPr>
        <w:pStyle w:val="NormalWeb"/>
        <w:spacing w:before="0" w:beforeAutospacing="0" w:after="0" w:afterAutospacing="0"/>
        <w:ind w:left="-567" w:right="-568"/>
        <w:jc w:val="both"/>
        <w:rPr>
          <w:b/>
          <w:bCs/>
          <w:sz w:val="28"/>
          <w:szCs w:val="28"/>
          <w:u w:val="single"/>
        </w:rPr>
      </w:pPr>
    </w:p>
    <w:p w:rsidR="006D6FEB" w:rsidRDefault="006D6FEB" w:rsidP="008E2B11">
      <w:pPr>
        <w:pStyle w:val="NormalWeb"/>
        <w:spacing w:before="0" w:beforeAutospacing="0" w:after="0" w:afterAutospacing="0"/>
        <w:ind w:left="-567" w:right="-568"/>
        <w:jc w:val="both"/>
        <w:rPr>
          <w:b/>
          <w:bCs/>
          <w:sz w:val="28"/>
          <w:szCs w:val="28"/>
        </w:rPr>
      </w:pPr>
      <w:r w:rsidRPr="00AD5EE7">
        <w:rPr>
          <w:b/>
          <w:bCs/>
          <w:sz w:val="28"/>
          <w:szCs w:val="28"/>
        </w:rPr>
        <w:t>Prerequisite:</w:t>
      </w:r>
    </w:p>
    <w:p w:rsidR="006D6FEB" w:rsidRDefault="006D6FEB" w:rsidP="008E2B11">
      <w:pPr>
        <w:pStyle w:val="BodyText"/>
        <w:ind w:left="-567" w:right="-568"/>
        <w:rPr>
          <w:b w:val="0"/>
          <w:bCs w:val="0"/>
        </w:rPr>
      </w:pPr>
      <w:r>
        <w:rPr>
          <w:b w:val="0"/>
          <w:bCs w:val="0"/>
        </w:rPr>
        <w:t xml:space="preserve">An introductory course in </w:t>
      </w:r>
      <w:r w:rsidR="00530E7C">
        <w:rPr>
          <w:b w:val="0"/>
          <w:bCs w:val="0"/>
        </w:rPr>
        <w:t>questionnaire design</w:t>
      </w:r>
      <w:r>
        <w:rPr>
          <w:b w:val="0"/>
          <w:bCs w:val="0"/>
        </w:rPr>
        <w:t xml:space="preserve"> or equivalent experience.</w:t>
      </w:r>
    </w:p>
    <w:p w:rsidR="006D6FEB" w:rsidRPr="007C266E" w:rsidRDefault="006D6FEB" w:rsidP="008E2B11">
      <w:pPr>
        <w:pStyle w:val="BodyText"/>
        <w:ind w:left="-567" w:right="-568"/>
        <w:rPr>
          <w:b w:val="0"/>
          <w:bCs w:val="0"/>
          <w:sz w:val="28"/>
          <w:szCs w:val="28"/>
        </w:rPr>
      </w:pPr>
    </w:p>
    <w:p w:rsidR="006D6FEB" w:rsidRDefault="006D6FEB" w:rsidP="008E2B11">
      <w:pPr>
        <w:pStyle w:val="NormalWeb"/>
        <w:spacing w:before="0" w:beforeAutospacing="0" w:after="0" w:afterAutospacing="0"/>
        <w:ind w:left="-567" w:right="-568"/>
        <w:jc w:val="both"/>
        <w:rPr>
          <w:b/>
          <w:bCs/>
          <w:sz w:val="28"/>
          <w:szCs w:val="28"/>
        </w:rPr>
      </w:pPr>
      <w:r w:rsidRPr="00AD5EE7">
        <w:rPr>
          <w:b/>
          <w:bCs/>
          <w:sz w:val="28"/>
          <w:szCs w:val="28"/>
        </w:rPr>
        <w:t>Office Hours:</w:t>
      </w:r>
    </w:p>
    <w:p w:rsidR="006D6FEB" w:rsidRDefault="00A626F0" w:rsidP="008E2B11">
      <w:pPr>
        <w:pStyle w:val="NormalWeb"/>
        <w:spacing w:before="0" w:beforeAutospacing="0" w:after="0" w:afterAutospacing="0"/>
        <w:ind w:left="-567" w:right="-568"/>
        <w:jc w:val="both"/>
      </w:pPr>
      <w:r>
        <w:t xml:space="preserve">Any </w:t>
      </w:r>
      <w:r w:rsidR="006D6FEB">
        <w:t>time</w:t>
      </w:r>
      <w:r>
        <w:t xml:space="preserve"> - j</w:t>
      </w:r>
      <w:r w:rsidR="006D6FEB">
        <w:t>ust make an appointment.</w:t>
      </w:r>
    </w:p>
    <w:p w:rsidR="006D6FEB" w:rsidRPr="007C266E" w:rsidRDefault="006D6FEB" w:rsidP="008E2B11">
      <w:pPr>
        <w:pStyle w:val="NormalWeb"/>
        <w:spacing w:before="0" w:beforeAutospacing="0" w:after="0" w:afterAutospacing="0"/>
        <w:ind w:left="-567" w:right="-568"/>
        <w:jc w:val="both"/>
        <w:rPr>
          <w:b/>
          <w:bCs/>
          <w:sz w:val="28"/>
          <w:szCs w:val="28"/>
          <w:u w:val="single"/>
        </w:rPr>
      </w:pPr>
    </w:p>
    <w:p w:rsidR="006D6FEB" w:rsidRPr="00716510" w:rsidRDefault="006D6FEB" w:rsidP="008E2B11">
      <w:pPr>
        <w:pStyle w:val="NormalWeb"/>
        <w:spacing w:before="0" w:beforeAutospacing="0" w:after="0" w:afterAutospacing="0"/>
        <w:ind w:left="-567" w:right="-568"/>
        <w:jc w:val="both"/>
        <w:rPr>
          <w:b/>
          <w:bCs/>
          <w:sz w:val="28"/>
          <w:szCs w:val="28"/>
        </w:rPr>
      </w:pPr>
      <w:r w:rsidRPr="00716510">
        <w:rPr>
          <w:b/>
          <w:bCs/>
          <w:sz w:val="28"/>
          <w:szCs w:val="28"/>
        </w:rPr>
        <w:t>Course Website</w:t>
      </w:r>
      <w:r w:rsidR="00CC03ED">
        <w:rPr>
          <w:b/>
          <w:bCs/>
          <w:sz w:val="28"/>
          <w:szCs w:val="28"/>
        </w:rPr>
        <w:t>:</w:t>
      </w:r>
    </w:p>
    <w:p w:rsidR="00EE7503" w:rsidRDefault="00EE7503" w:rsidP="008703B3">
      <w:pPr>
        <w:pStyle w:val="NormalWeb"/>
        <w:spacing w:before="0" w:beforeAutospacing="0" w:after="0" w:afterAutospacing="0"/>
        <w:ind w:left="-567" w:right="-568"/>
        <w:rPr>
          <w:spacing w:val="-2"/>
        </w:rPr>
      </w:pPr>
      <w:r w:rsidRPr="007135B2">
        <w:rPr>
          <w:bCs/>
        </w:rPr>
        <w:t>The course website</w:t>
      </w:r>
      <w:r>
        <w:rPr>
          <w:bCs/>
        </w:rPr>
        <w:t xml:space="preserve"> will be on CANVAS which can be accessed through</w:t>
      </w:r>
      <w:r w:rsidRPr="007135B2">
        <w:rPr>
          <w:bCs/>
        </w:rPr>
        <w:t xml:space="preserve"> </w:t>
      </w:r>
      <w:r>
        <w:rPr>
          <w:bCs/>
        </w:rPr>
        <w:t>(</w:t>
      </w:r>
      <w:hyperlink r:id="rId9">
        <w:r w:rsidRPr="00F752AD">
          <w:rPr>
            <w:bCs/>
            <w:color w:val="3333CC"/>
            <w:u w:val="single"/>
          </w:rPr>
          <w:t>https://ctools.umich.edu/gateway/</w:t>
        </w:r>
      </w:hyperlink>
      <w:r w:rsidRPr="00F752AD">
        <w:rPr>
          <w:bCs/>
          <w:color w:val="3333CC"/>
        </w:rPr>
        <w:t>)</w:t>
      </w:r>
      <w:r w:rsidRPr="00F752AD">
        <w:rPr>
          <w:bCs/>
        </w:rPr>
        <w:t xml:space="preserve">. </w:t>
      </w:r>
      <w:r w:rsidR="00BB7720">
        <w:rPr>
          <w:bCs/>
        </w:rPr>
        <w:t>Then click on CANVAS in the upper right hand corner.</w:t>
      </w:r>
    </w:p>
    <w:p w:rsidR="00EE7503" w:rsidRDefault="00EE7503" w:rsidP="008E2B11">
      <w:pPr>
        <w:autoSpaceDE w:val="0"/>
        <w:autoSpaceDN w:val="0"/>
        <w:adjustRightInd w:val="0"/>
        <w:ind w:left="218" w:right="-568"/>
        <w:rPr>
          <w:spacing w:val="-2"/>
        </w:rPr>
      </w:pPr>
    </w:p>
    <w:p w:rsidR="00EE7503" w:rsidRPr="00A626F0" w:rsidRDefault="00EE7503" w:rsidP="008E2B11">
      <w:pPr>
        <w:pStyle w:val="NormalWeb"/>
        <w:spacing w:before="0" w:beforeAutospacing="0" w:after="0" w:afterAutospacing="0"/>
        <w:ind w:left="-567" w:right="-568"/>
        <w:jc w:val="both"/>
        <w:rPr>
          <w:b/>
          <w:bCs/>
          <w:sz w:val="28"/>
          <w:szCs w:val="28"/>
        </w:rPr>
      </w:pPr>
      <w:r w:rsidRPr="00A626F0">
        <w:rPr>
          <w:b/>
          <w:bCs/>
          <w:sz w:val="28"/>
          <w:szCs w:val="28"/>
        </w:rPr>
        <w:t xml:space="preserve">Required </w:t>
      </w:r>
      <w:r w:rsidR="00A626F0" w:rsidRPr="00A626F0">
        <w:rPr>
          <w:b/>
          <w:bCs/>
          <w:sz w:val="28"/>
          <w:szCs w:val="28"/>
        </w:rPr>
        <w:t>and optional reading</w:t>
      </w:r>
    </w:p>
    <w:p w:rsidR="000A37E2" w:rsidRDefault="008E2B11" w:rsidP="008E2B11">
      <w:pPr>
        <w:tabs>
          <w:tab w:val="left" w:pos="-720"/>
        </w:tabs>
        <w:suppressAutoHyphens/>
        <w:ind w:left="-567" w:right="-568"/>
      </w:pPr>
      <w:r>
        <w:t>All readings wi</w:t>
      </w:r>
      <w:r w:rsidR="00A626F0">
        <w:t>ll be on the CANVAS website in addition to pdf versions of the course Power</w:t>
      </w:r>
      <w:r>
        <w:t>P</w:t>
      </w:r>
      <w:r w:rsidR="00A626F0">
        <w:t>oint slides</w:t>
      </w:r>
      <w:r>
        <w:t>.</w:t>
      </w:r>
      <w:r w:rsidR="000A37E2">
        <w:t xml:space="preserve"> </w:t>
      </w:r>
    </w:p>
    <w:p w:rsidR="000A37E2" w:rsidRDefault="000A37E2" w:rsidP="008E2B11">
      <w:pPr>
        <w:tabs>
          <w:tab w:val="left" w:pos="-720"/>
        </w:tabs>
        <w:suppressAutoHyphens/>
        <w:ind w:left="-567" w:right="-568"/>
      </w:pPr>
    </w:p>
    <w:p w:rsidR="00EE7503" w:rsidRDefault="000A37E2" w:rsidP="008E2B11">
      <w:pPr>
        <w:tabs>
          <w:tab w:val="left" w:pos="-720"/>
        </w:tabs>
        <w:suppressAutoHyphens/>
        <w:ind w:left="-567" w:right="-568"/>
      </w:pPr>
      <w:r>
        <w:lastRenderedPageBreak/>
        <w:t>The readings are made available through a copyright “fair use exception”. That means you are the only person allowed to use the material and that it is for the purpose of this course</w:t>
      </w:r>
      <w:r w:rsidR="00230437">
        <w:t xml:space="preserve"> only</w:t>
      </w:r>
      <w:r>
        <w:t>.</w:t>
      </w:r>
    </w:p>
    <w:p w:rsidR="000A37E2" w:rsidRDefault="000A37E2" w:rsidP="008E2B11">
      <w:pPr>
        <w:tabs>
          <w:tab w:val="left" w:pos="-720"/>
        </w:tabs>
        <w:suppressAutoHyphens/>
        <w:ind w:left="-567" w:right="-568"/>
      </w:pPr>
    </w:p>
    <w:p w:rsidR="000A37E2" w:rsidRPr="00A626F0" w:rsidRDefault="000A37E2" w:rsidP="008E2B11">
      <w:pPr>
        <w:tabs>
          <w:tab w:val="left" w:pos="-720"/>
        </w:tabs>
        <w:suppressAutoHyphens/>
        <w:ind w:left="-567" w:right="-568"/>
      </w:pPr>
      <w:r>
        <w:t>As shown below, there are required readings and optional readings. On th</w:t>
      </w:r>
      <w:r w:rsidR="00230437">
        <w:t xml:space="preserve">e CANVAS website there are also </w:t>
      </w:r>
      <w:r w:rsidR="0028330F">
        <w:t>other useful related papers and documents.</w:t>
      </w:r>
    </w:p>
    <w:p w:rsidR="00EE7503" w:rsidRPr="007C266E" w:rsidRDefault="00EE7503" w:rsidP="008E2B11">
      <w:pPr>
        <w:ind w:left="-567" w:right="-568"/>
        <w:rPr>
          <w:b/>
          <w:bCs/>
          <w:sz w:val="28"/>
          <w:szCs w:val="28"/>
          <w:lang w:val="en-US"/>
        </w:rPr>
      </w:pPr>
    </w:p>
    <w:p w:rsidR="00076F5B" w:rsidRPr="00320D8C" w:rsidRDefault="006D6FEB" w:rsidP="008E2B11">
      <w:pPr>
        <w:pStyle w:val="NormalWeb"/>
        <w:spacing w:before="0" w:beforeAutospacing="0" w:after="0" w:afterAutospacing="0"/>
        <w:ind w:left="-567" w:right="-568"/>
        <w:jc w:val="both"/>
        <w:rPr>
          <w:b/>
          <w:bCs/>
          <w:sz w:val="16"/>
          <w:szCs w:val="16"/>
        </w:rPr>
      </w:pPr>
      <w:r w:rsidRPr="00CC03ED">
        <w:rPr>
          <w:b/>
          <w:bCs/>
          <w:sz w:val="28"/>
        </w:rPr>
        <w:t>Detailed Course Summary</w:t>
      </w:r>
      <w:r w:rsidR="00CC03ED">
        <w:rPr>
          <w:b/>
          <w:bCs/>
          <w:sz w:val="28"/>
        </w:rPr>
        <w:t>:</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686"/>
        <w:gridCol w:w="4961"/>
      </w:tblGrid>
      <w:tr w:rsidR="00635FEF" w:rsidTr="00EA4EB1">
        <w:tc>
          <w:tcPr>
            <w:tcW w:w="1276" w:type="dxa"/>
          </w:tcPr>
          <w:p w:rsidR="00635FEF" w:rsidRDefault="00635FEF" w:rsidP="00EA4EB1">
            <w:pPr>
              <w:ind w:right="34"/>
              <w:jc w:val="center"/>
              <w:rPr>
                <w:b/>
                <w:sz w:val="20"/>
              </w:rPr>
            </w:pPr>
            <w:r>
              <w:rPr>
                <w:b/>
                <w:sz w:val="20"/>
              </w:rPr>
              <w:t>Date</w:t>
            </w:r>
          </w:p>
        </w:tc>
        <w:tc>
          <w:tcPr>
            <w:tcW w:w="3686" w:type="dxa"/>
          </w:tcPr>
          <w:p w:rsidR="00635FEF" w:rsidRPr="00A626F0" w:rsidRDefault="00635FEF" w:rsidP="00EA4EB1">
            <w:pPr>
              <w:spacing w:after="120"/>
              <w:ind w:left="317" w:right="175" w:hanging="283"/>
              <w:jc w:val="center"/>
              <w:rPr>
                <w:b/>
                <w:sz w:val="20"/>
                <w:szCs w:val="20"/>
              </w:rPr>
            </w:pPr>
            <w:r w:rsidRPr="00A626F0">
              <w:rPr>
                <w:b/>
                <w:sz w:val="20"/>
                <w:szCs w:val="20"/>
              </w:rPr>
              <w:t>Topic</w:t>
            </w:r>
          </w:p>
        </w:tc>
        <w:tc>
          <w:tcPr>
            <w:tcW w:w="4961" w:type="dxa"/>
          </w:tcPr>
          <w:p w:rsidR="00635FEF" w:rsidRPr="00EA4EB1" w:rsidRDefault="00635FEF" w:rsidP="00EA4EB1">
            <w:pPr>
              <w:pStyle w:val="Heading1"/>
              <w:tabs>
                <w:tab w:val="clear" w:pos="0"/>
              </w:tabs>
              <w:ind w:left="317" w:right="176" w:hanging="283"/>
              <w:rPr>
                <w:sz w:val="20"/>
              </w:rPr>
            </w:pPr>
            <w:r w:rsidRPr="00EA4EB1">
              <w:rPr>
                <w:sz w:val="20"/>
              </w:rPr>
              <w:t>Required Readings</w:t>
            </w:r>
          </w:p>
        </w:tc>
      </w:tr>
      <w:tr w:rsidR="00635FEF" w:rsidTr="00EA4EB1">
        <w:tc>
          <w:tcPr>
            <w:tcW w:w="1276" w:type="dxa"/>
          </w:tcPr>
          <w:p w:rsidR="00635FEF" w:rsidRDefault="00635FEF" w:rsidP="001D440E">
            <w:pPr>
              <w:ind w:right="-568"/>
              <w:rPr>
                <w:sz w:val="20"/>
              </w:rPr>
            </w:pPr>
            <w:r>
              <w:rPr>
                <w:sz w:val="20"/>
              </w:rPr>
              <w:t xml:space="preserve">July </w:t>
            </w:r>
            <w:r w:rsidR="001D440E">
              <w:rPr>
                <w:sz w:val="20"/>
              </w:rPr>
              <w:t>19</w:t>
            </w:r>
          </w:p>
        </w:tc>
        <w:tc>
          <w:tcPr>
            <w:tcW w:w="3686" w:type="dxa"/>
          </w:tcPr>
          <w:p w:rsidR="00A626F0" w:rsidRPr="00A626F0" w:rsidRDefault="00A626F0" w:rsidP="00EA4EB1">
            <w:pPr>
              <w:pStyle w:val="ListParagraph"/>
              <w:numPr>
                <w:ilvl w:val="0"/>
                <w:numId w:val="34"/>
              </w:numPr>
              <w:spacing w:after="120"/>
              <w:ind w:left="317" w:right="175" w:hanging="283"/>
              <w:rPr>
                <w:color w:val="000000"/>
                <w:sz w:val="20"/>
                <w:szCs w:val="20"/>
                <w:lang w:eastAsia="en-GB"/>
              </w:rPr>
            </w:pPr>
            <w:r w:rsidRPr="00A626F0">
              <w:rPr>
                <w:color w:val="000000"/>
                <w:sz w:val="20"/>
                <w:szCs w:val="20"/>
                <w:lang w:eastAsia="en-GB"/>
              </w:rPr>
              <w:t>Course overview and introductions</w:t>
            </w:r>
          </w:p>
          <w:p w:rsidR="00A626F0" w:rsidRPr="00A626F0" w:rsidRDefault="00A626F0" w:rsidP="00EA4EB1">
            <w:pPr>
              <w:pStyle w:val="ListParagraph"/>
              <w:numPr>
                <w:ilvl w:val="0"/>
                <w:numId w:val="34"/>
              </w:numPr>
              <w:spacing w:after="120"/>
              <w:ind w:left="317" w:right="175" w:hanging="283"/>
              <w:rPr>
                <w:color w:val="000000"/>
                <w:sz w:val="20"/>
                <w:szCs w:val="20"/>
                <w:lang w:eastAsia="en-GB"/>
              </w:rPr>
            </w:pPr>
            <w:r w:rsidRPr="00A626F0">
              <w:rPr>
                <w:color w:val="000000"/>
                <w:sz w:val="20"/>
                <w:szCs w:val="20"/>
                <w:lang w:eastAsia="en-GB"/>
              </w:rPr>
              <w:t>Revising the four cognitive steps</w:t>
            </w:r>
          </w:p>
          <w:p w:rsidR="00A626F0" w:rsidRPr="00A626F0" w:rsidRDefault="00A626F0" w:rsidP="00EA4EB1">
            <w:pPr>
              <w:pStyle w:val="ListParagraph"/>
              <w:numPr>
                <w:ilvl w:val="0"/>
                <w:numId w:val="34"/>
              </w:numPr>
              <w:spacing w:after="120"/>
              <w:ind w:left="317" w:right="175" w:hanging="283"/>
              <w:rPr>
                <w:color w:val="000000"/>
                <w:sz w:val="20"/>
                <w:szCs w:val="20"/>
                <w:lang w:eastAsia="en-GB"/>
              </w:rPr>
            </w:pPr>
            <w:r w:rsidRPr="00A626F0">
              <w:rPr>
                <w:color w:val="000000"/>
                <w:sz w:val="20"/>
                <w:szCs w:val="20"/>
                <w:lang w:eastAsia="en-GB"/>
              </w:rPr>
              <w:t>Comprehension from the linguistic side (Grice's maximums, frame of reference effects, Flesch-Kinca</w:t>
            </w:r>
            <w:r w:rsidR="00EA4EB1">
              <w:rPr>
                <w:color w:val="000000"/>
                <w:sz w:val="20"/>
                <w:szCs w:val="20"/>
                <w:lang w:eastAsia="en-GB"/>
              </w:rPr>
              <w:t>i</w:t>
            </w:r>
            <w:r w:rsidRPr="00A626F0">
              <w:rPr>
                <w:color w:val="000000"/>
                <w:sz w:val="20"/>
                <w:szCs w:val="20"/>
                <w:lang w:eastAsia="en-GB"/>
              </w:rPr>
              <w:t>d readability statistics, linguistic corpora approach)</w:t>
            </w:r>
          </w:p>
          <w:p w:rsidR="00A626F0" w:rsidRPr="00F11125" w:rsidRDefault="00A626F0" w:rsidP="00EA4EB1">
            <w:pPr>
              <w:pStyle w:val="ListParagraph"/>
              <w:numPr>
                <w:ilvl w:val="0"/>
                <w:numId w:val="34"/>
              </w:numPr>
              <w:spacing w:after="120"/>
              <w:ind w:left="317" w:right="175" w:hanging="283"/>
              <w:rPr>
                <w:b/>
                <w:sz w:val="20"/>
                <w:szCs w:val="20"/>
                <w:lang w:eastAsia="en-GB"/>
              </w:rPr>
            </w:pPr>
            <w:r w:rsidRPr="00F11125">
              <w:rPr>
                <w:b/>
                <w:sz w:val="20"/>
                <w:szCs w:val="20"/>
                <w:lang w:eastAsia="en-GB"/>
              </w:rPr>
              <w:t>Workshop - Improving a survey questions using online linguistic tools</w:t>
            </w:r>
          </w:p>
          <w:p w:rsidR="00A626F0" w:rsidRPr="00A626F0" w:rsidRDefault="00A626F0" w:rsidP="00EA4EB1">
            <w:pPr>
              <w:pStyle w:val="ListParagraph"/>
              <w:numPr>
                <w:ilvl w:val="0"/>
                <w:numId w:val="34"/>
              </w:numPr>
              <w:spacing w:after="120"/>
              <w:ind w:left="317" w:right="175" w:hanging="283"/>
              <w:rPr>
                <w:color w:val="000000"/>
                <w:sz w:val="20"/>
                <w:szCs w:val="20"/>
                <w:lang w:eastAsia="en-GB"/>
              </w:rPr>
            </w:pPr>
            <w:r w:rsidRPr="00A626F0">
              <w:rPr>
                <w:color w:val="000000"/>
                <w:sz w:val="20"/>
                <w:szCs w:val="20"/>
                <w:lang w:eastAsia="en-GB"/>
              </w:rPr>
              <w:t>Revising issues with factual questions</w:t>
            </w:r>
          </w:p>
          <w:p w:rsidR="00A626F0" w:rsidRPr="00A626F0" w:rsidRDefault="00A626F0" w:rsidP="00EA4EB1">
            <w:pPr>
              <w:pStyle w:val="ListParagraph"/>
              <w:numPr>
                <w:ilvl w:val="0"/>
                <w:numId w:val="34"/>
              </w:numPr>
              <w:spacing w:after="120"/>
              <w:ind w:left="317" w:right="175" w:hanging="283"/>
              <w:rPr>
                <w:color w:val="000000"/>
                <w:sz w:val="20"/>
                <w:szCs w:val="20"/>
                <w:lang w:eastAsia="en-GB"/>
              </w:rPr>
            </w:pPr>
            <w:r w:rsidRPr="00A626F0">
              <w:rPr>
                <w:color w:val="000000"/>
                <w:sz w:val="20"/>
                <w:szCs w:val="20"/>
                <w:lang w:eastAsia="en-GB"/>
              </w:rPr>
              <w:t>More about memory and what makes some events more memorable than others</w:t>
            </w:r>
          </w:p>
          <w:p w:rsidR="00635FEF" w:rsidRPr="00A626F0" w:rsidRDefault="00635FEF" w:rsidP="00EA4EB1">
            <w:pPr>
              <w:spacing w:after="120"/>
              <w:ind w:left="317" w:right="175" w:hanging="283"/>
              <w:rPr>
                <w:sz w:val="20"/>
                <w:szCs w:val="20"/>
              </w:rPr>
            </w:pPr>
          </w:p>
        </w:tc>
        <w:tc>
          <w:tcPr>
            <w:tcW w:w="4961" w:type="dxa"/>
          </w:tcPr>
          <w:p w:rsidR="005E4A87" w:rsidRPr="00EA4EB1" w:rsidRDefault="005E4A87" w:rsidP="00EA4EB1">
            <w:pPr>
              <w:numPr>
                <w:ilvl w:val="0"/>
                <w:numId w:val="14"/>
              </w:numPr>
              <w:tabs>
                <w:tab w:val="left" w:pos="432"/>
              </w:tabs>
              <w:ind w:left="317" w:right="176" w:hanging="283"/>
              <w:rPr>
                <w:sz w:val="20"/>
                <w:szCs w:val="20"/>
              </w:rPr>
            </w:pPr>
            <w:r w:rsidRPr="00EA4EB1">
              <w:rPr>
                <w:sz w:val="20"/>
                <w:szCs w:val="20"/>
              </w:rPr>
              <w:t xml:space="preserve">Slavec, A. (2016), </w:t>
            </w:r>
            <w:r w:rsidRPr="00EA4EB1">
              <w:rPr>
                <w:i/>
                <w:sz w:val="20"/>
                <w:szCs w:val="20"/>
              </w:rPr>
              <w:t>Improving Survey Question Wording Using Language Resources</w:t>
            </w:r>
            <w:r w:rsidRPr="00EA4EB1">
              <w:rPr>
                <w:sz w:val="20"/>
                <w:szCs w:val="20"/>
              </w:rPr>
              <w:t xml:space="preserve">, PhD Thesis, University of Ljubljana – </w:t>
            </w:r>
            <w:r w:rsidR="00EA4EB1">
              <w:rPr>
                <w:sz w:val="20"/>
                <w:szCs w:val="20"/>
              </w:rPr>
              <w:t>P</w:t>
            </w:r>
            <w:r w:rsidRPr="00EA4EB1">
              <w:rPr>
                <w:sz w:val="20"/>
                <w:szCs w:val="20"/>
              </w:rPr>
              <w:t>ages 8-10, 25-31, 153-205</w:t>
            </w:r>
            <w:r w:rsidR="00EC2ACB" w:rsidRPr="00EA4EB1">
              <w:rPr>
                <w:sz w:val="20"/>
                <w:szCs w:val="20"/>
              </w:rPr>
              <w:t>.</w:t>
            </w:r>
          </w:p>
          <w:p w:rsidR="00B8298C" w:rsidRDefault="005C53D6" w:rsidP="00EA4EB1">
            <w:pPr>
              <w:pStyle w:val="ListParagraph"/>
              <w:numPr>
                <w:ilvl w:val="0"/>
                <w:numId w:val="37"/>
              </w:numPr>
              <w:tabs>
                <w:tab w:val="left" w:pos="432"/>
              </w:tabs>
              <w:ind w:left="317" w:right="176" w:hanging="283"/>
              <w:rPr>
                <w:sz w:val="20"/>
                <w:szCs w:val="20"/>
              </w:rPr>
            </w:pPr>
            <w:r w:rsidRPr="00EA4EB1">
              <w:rPr>
                <w:sz w:val="20"/>
                <w:szCs w:val="20"/>
              </w:rPr>
              <w:t xml:space="preserve">Tourangeau, R., Rips, L.J., and Rasinski, K. (2000), </w:t>
            </w:r>
            <w:r w:rsidRPr="00EA4EB1">
              <w:rPr>
                <w:i/>
                <w:iCs/>
                <w:sz w:val="20"/>
                <w:szCs w:val="20"/>
              </w:rPr>
              <w:t>The Psychology of Survey Response</w:t>
            </w:r>
            <w:r w:rsidRPr="00EA4EB1">
              <w:rPr>
                <w:sz w:val="20"/>
                <w:szCs w:val="20"/>
              </w:rPr>
              <w:t xml:space="preserve">, Cambridge, UK: Cambridge University Press </w:t>
            </w:r>
            <w:r w:rsidR="00EA4EB1" w:rsidRPr="00EA4EB1">
              <w:rPr>
                <w:sz w:val="20"/>
                <w:szCs w:val="20"/>
              </w:rPr>
              <w:t>–</w:t>
            </w:r>
            <w:r w:rsidRPr="00EA4EB1">
              <w:rPr>
                <w:sz w:val="20"/>
                <w:szCs w:val="20"/>
              </w:rPr>
              <w:t xml:space="preserve"> Chapter 3.</w:t>
            </w:r>
          </w:p>
          <w:p w:rsidR="00EA4EB1" w:rsidRPr="00EA4EB1" w:rsidRDefault="00EA4EB1" w:rsidP="00EA4EB1">
            <w:pPr>
              <w:tabs>
                <w:tab w:val="left" w:pos="432"/>
              </w:tabs>
              <w:ind w:right="176"/>
              <w:rPr>
                <w:sz w:val="20"/>
                <w:szCs w:val="20"/>
              </w:rPr>
            </w:pPr>
          </w:p>
          <w:p w:rsidR="00EA4EB1" w:rsidRPr="00EA4EB1" w:rsidRDefault="00EA4EB1" w:rsidP="00EA4EB1">
            <w:pPr>
              <w:tabs>
                <w:tab w:val="left" w:pos="432"/>
              </w:tabs>
              <w:ind w:left="317" w:right="176" w:hanging="283"/>
              <w:rPr>
                <w:sz w:val="20"/>
                <w:szCs w:val="20"/>
              </w:rPr>
            </w:pPr>
            <w:r w:rsidRPr="00EA4EB1">
              <w:rPr>
                <w:sz w:val="20"/>
                <w:szCs w:val="20"/>
              </w:rPr>
              <w:t>Optional:</w:t>
            </w:r>
          </w:p>
          <w:p w:rsidR="00EA4EB1" w:rsidRPr="00EA4EB1" w:rsidRDefault="00EA4EB1" w:rsidP="00EA4EB1">
            <w:pPr>
              <w:pStyle w:val="BodyTextIndent2"/>
              <w:numPr>
                <w:ilvl w:val="0"/>
                <w:numId w:val="14"/>
              </w:numPr>
              <w:tabs>
                <w:tab w:val="left" w:pos="-1440"/>
                <w:tab w:val="left" w:pos="-720"/>
                <w:tab w:val="left" w:pos="720"/>
                <w:tab w:val="left" w:pos="1530"/>
                <w:tab w:val="left" w:pos="2160"/>
              </w:tabs>
              <w:suppressAutoHyphens/>
              <w:ind w:left="317" w:right="176" w:hanging="283"/>
              <w:rPr>
                <w:bCs/>
                <w:color w:val="000000" w:themeColor="text1"/>
                <w:spacing w:val="-2"/>
                <w:sz w:val="20"/>
                <w:szCs w:val="20"/>
              </w:rPr>
            </w:pPr>
            <w:r w:rsidRPr="00EA4EB1">
              <w:rPr>
                <w:bCs/>
                <w:color w:val="000000" w:themeColor="text1"/>
                <w:spacing w:val="-2"/>
                <w:sz w:val="20"/>
                <w:szCs w:val="20"/>
              </w:rPr>
              <w:t xml:space="preserve">Schwarz, N., Hippler, H.J., and Noelle-Nuemann, E. (1994), Retrospective Reports: The Impact of Response Formats in N. Schwarz and S. Sudman (Eds.), </w:t>
            </w:r>
            <w:r w:rsidRPr="00EA4EB1">
              <w:rPr>
                <w:bCs/>
                <w:i/>
                <w:iCs/>
                <w:color w:val="000000" w:themeColor="text1"/>
                <w:spacing w:val="-2"/>
                <w:sz w:val="20"/>
                <w:szCs w:val="20"/>
              </w:rPr>
              <w:t>Autobiographical Memory and the Validity of Retrospective Reports</w:t>
            </w:r>
            <w:r w:rsidRPr="00EA4EB1">
              <w:rPr>
                <w:bCs/>
                <w:color w:val="000000" w:themeColor="text1"/>
                <w:spacing w:val="-2"/>
                <w:sz w:val="20"/>
                <w:szCs w:val="20"/>
              </w:rPr>
              <w:t>, New York: Springer-Verlag. – Pages 187-199.</w:t>
            </w:r>
            <w:r w:rsidR="000A37E2">
              <w:rPr>
                <w:bCs/>
                <w:color w:val="000000" w:themeColor="text1"/>
                <w:spacing w:val="-2"/>
                <w:sz w:val="20"/>
                <w:szCs w:val="20"/>
              </w:rPr>
              <w:t xml:space="preserve"> (Password: surv630cam)</w:t>
            </w:r>
          </w:p>
          <w:p w:rsidR="00B8298C" w:rsidRPr="00EA4EB1" w:rsidRDefault="00B8298C" w:rsidP="00EA4EB1">
            <w:pPr>
              <w:tabs>
                <w:tab w:val="left" w:pos="432"/>
              </w:tabs>
              <w:ind w:left="317" w:right="176" w:hanging="283"/>
              <w:rPr>
                <w:sz w:val="20"/>
                <w:szCs w:val="20"/>
              </w:rPr>
            </w:pPr>
          </w:p>
        </w:tc>
      </w:tr>
      <w:tr w:rsidR="00635FEF" w:rsidTr="00EA4EB1">
        <w:tc>
          <w:tcPr>
            <w:tcW w:w="1276" w:type="dxa"/>
          </w:tcPr>
          <w:p w:rsidR="00635FEF" w:rsidRDefault="007C266E" w:rsidP="001D440E">
            <w:pPr>
              <w:ind w:right="-568"/>
              <w:rPr>
                <w:sz w:val="20"/>
              </w:rPr>
            </w:pPr>
            <w:r>
              <w:br w:type="page"/>
              <w:t>J</w:t>
            </w:r>
            <w:r w:rsidR="00635FEF">
              <w:rPr>
                <w:sz w:val="20"/>
              </w:rPr>
              <w:t xml:space="preserve">uly </w:t>
            </w:r>
            <w:r w:rsidR="001D440E">
              <w:rPr>
                <w:sz w:val="20"/>
              </w:rPr>
              <w:t>20</w:t>
            </w:r>
          </w:p>
        </w:tc>
        <w:tc>
          <w:tcPr>
            <w:tcW w:w="3686" w:type="dxa"/>
          </w:tcPr>
          <w:p w:rsidR="00230437" w:rsidRDefault="00230437" w:rsidP="00BB0991">
            <w:pPr>
              <w:pStyle w:val="ListParagraph"/>
              <w:numPr>
                <w:ilvl w:val="0"/>
                <w:numId w:val="1"/>
              </w:numPr>
              <w:spacing w:after="120"/>
              <w:ind w:right="175"/>
              <w:rPr>
                <w:color w:val="000000"/>
                <w:sz w:val="20"/>
                <w:szCs w:val="20"/>
                <w:lang w:eastAsia="en-GB"/>
              </w:rPr>
            </w:pPr>
            <w:r>
              <w:rPr>
                <w:color w:val="000000"/>
                <w:sz w:val="20"/>
                <w:szCs w:val="20"/>
                <w:lang w:eastAsia="en-GB"/>
              </w:rPr>
              <w:t>More about memory (continued)</w:t>
            </w:r>
          </w:p>
          <w:p w:rsidR="00A626F0" w:rsidRPr="00A626F0" w:rsidRDefault="00A626F0" w:rsidP="00BB0991">
            <w:pPr>
              <w:pStyle w:val="ListParagraph"/>
              <w:numPr>
                <w:ilvl w:val="0"/>
                <w:numId w:val="1"/>
              </w:numPr>
              <w:spacing w:after="120"/>
              <w:ind w:right="175"/>
              <w:rPr>
                <w:color w:val="000000"/>
                <w:sz w:val="20"/>
                <w:szCs w:val="20"/>
                <w:lang w:eastAsia="en-GB"/>
              </w:rPr>
            </w:pPr>
            <w:r w:rsidRPr="00A626F0">
              <w:rPr>
                <w:color w:val="000000"/>
                <w:sz w:val="20"/>
                <w:szCs w:val="20"/>
                <w:lang w:eastAsia="en-GB"/>
              </w:rPr>
              <w:t>Aids to improve recall</w:t>
            </w:r>
          </w:p>
          <w:p w:rsidR="00A626F0" w:rsidRPr="00A626F0" w:rsidRDefault="00A626F0" w:rsidP="00BB0991">
            <w:pPr>
              <w:pStyle w:val="ListParagraph"/>
              <w:numPr>
                <w:ilvl w:val="0"/>
                <w:numId w:val="1"/>
              </w:numPr>
              <w:spacing w:after="120"/>
              <w:ind w:right="175"/>
              <w:rPr>
                <w:color w:val="000000"/>
                <w:sz w:val="20"/>
                <w:szCs w:val="20"/>
                <w:lang w:eastAsia="en-GB"/>
              </w:rPr>
            </w:pPr>
            <w:r w:rsidRPr="00A626F0">
              <w:rPr>
                <w:color w:val="000000"/>
                <w:sz w:val="20"/>
                <w:szCs w:val="20"/>
                <w:lang w:eastAsia="en-GB"/>
              </w:rPr>
              <w:t>Dates and durations</w:t>
            </w:r>
          </w:p>
          <w:p w:rsidR="00A626F0" w:rsidRPr="00A626F0" w:rsidRDefault="00A626F0" w:rsidP="00BB0991">
            <w:pPr>
              <w:pStyle w:val="ListParagraph"/>
              <w:numPr>
                <w:ilvl w:val="0"/>
                <w:numId w:val="1"/>
              </w:numPr>
              <w:spacing w:after="120"/>
              <w:ind w:right="175"/>
              <w:rPr>
                <w:b/>
                <w:bCs/>
                <w:color w:val="000000"/>
                <w:sz w:val="20"/>
                <w:szCs w:val="20"/>
                <w:lang w:eastAsia="en-GB"/>
              </w:rPr>
            </w:pPr>
            <w:r w:rsidRPr="00A626F0">
              <w:rPr>
                <w:b/>
                <w:bCs/>
                <w:color w:val="000000"/>
                <w:sz w:val="20"/>
                <w:szCs w:val="20"/>
                <w:lang w:eastAsia="en-GB"/>
              </w:rPr>
              <w:t>Workshop 2: Memory exercise</w:t>
            </w:r>
          </w:p>
          <w:p w:rsidR="00A626F0" w:rsidRPr="00A626F0" w:rsidRDefault="00A626F0" w:rsidP="00BB0991">
            <w:pPr>
              <w:pStyle w:val="ListParagraph"/>
              <w:numPr>
                <w:ilvl w:val="0"/>
                <w:numId w:val="1"/>
              </w:numPr>
              <w:spacing w:after="120"/>
              <w:ind w:right="175"/>
              <w:rPr>
                <w:color w:val="000000"/>
                <w:sz w:val="20"/>
                <w:szCs w:val="20"/>
                <w:lang w:eastAsia="en-GB"/>
              </w:rPr>
            </w:pPr>
            <w:r w:rsidRPr="00A626F0">
              <w:rPr>
                <w:color w:val="000000"/>
                <w:sz w:val="20"/>
                <w:szCs w:val="20"/>
                <w:lang w:eastAsia="en-GB"/>
              </w:rPr>
              <w:t>Autobiographical memory</w:t>
            </w:r>
          </w:p>
          <w:p w:rsidR="00A626F0" w:rsidRPr="00A626F0" w:rsidRDefault="00A626F0" w:rsidP="00BB0991">
            <w:pPr>
              <w:pStyle w:val="ListParagraph"/>
              <w:numPr>
                <w:ilvl w:val="0"/>
                <w:numId w:val="1"/>
              </w:numPr>
              <w:spacing w:after="120"/>
              <w:ind w:right="175"/>
              <w:rPr>
                <w:color w:val="000000"/>
                <w:sz w:val="20"/>
                <w:szCs w:val="20"/>
                <w:lang w:eastAsia="en-GB"/>
              </w:rPr>
            </w:pPr>
            <w:r w:rsidRPr="00A626F0">
              <w:rPr>
                <w:color w:val="000000"/>
                <w:sz w:val="20"/>
                <w:szCs w:val="20"/>
                <w:lang w:eastAsia="en-GB"/>
              </w:rPr>
              <w:t>Telescoping</w:t>
            </w:r>
          </w:p>
          <w:p w:rsidR="00A626F0" w:rsidRDefault="00A626F0" w:rsidP="00BB0991">
            <w:pPr>
              <w:pStyle w:val="ListParagraph"/>
              <w:numPr>
                <w:ilvl w:val="0"/>
                <w:numId w:val="1"/>
              </w:numPr>
              <w:spacing w:after="120"/>
              <w:ind w:right="175"/>
              <w:rPr>
                <w:color w:val="000000"/>
                <w:sz w:val="20"/>
                <w:szCs w:val="20"/>
                <w:lang w:eastAsia="en-GB"/>
              </w:rPr>
            </w:pPr>
            <w:r w:rsidRPr="00A626F0">
              <w:rPr>
                <w:color w:val="000000"/>
                <w:sz w:val="20"/>
                <w:szCs w:val="20"/>
                <w:lang w:eastAsia="en-GB"/>
              </w:rPr>
              <w:t>Unusual inconsistencies in panel data</w:t>
            </w:r>
          </w:p>
          <w:p w:rsidR="00BB0991" w:rsidRPr="00A626F0" w:rsidRDefault="00BB0991" w:rsidP="00BB0991">
            <w:pPr>
              <w:pStyle w:val="ListParagraph"/>
              <w:numPr>
                <w:ilvl w:val="0"/>
                <w:numId w:val="1"/>
              </w:numPr>
              <w:spacing w:after="120"/>
              <w:ind w:right="175"/>
              <w:rPr>
                <w:color w:val="000000"/>
                <w:sz w:val="20"/>
                <w:szCs w:val="20"/>
                <w:lang w:eastAsia="en-GB"/>
              </w:rPr>
            </w:pPr>
            <w:r w:rsidRPr="00A626F0">
              <w:rPr>
                <w:color w:val="000000"/>
                <w:sz w:val="20"/>
                <w:szCs w:val="20"/>
                <w:lang w:eastAsia="en-GB"/>
              </w:rPr>
              <w:t>Quasi-facts</w:t>
            </w:r>
          </w:p>
          <w:p w:rsidR="00635FEF" w:rsidRPr="00230437" w:rsidRDefault="00635FEF" w:rsidP="00230437">
            <w:pPr>
              <w:spacing w:after="120"/>
              <w:ind w:left="34" w:right="175"/>
              <w:rPr>
                <w:bCs/>
                <w:sz w:val="20"/>
                <w:szCs w:val="20"/>
              </w:rPr>
            </w:pPr>
          </w:p>
        </w:tc>
        <w:tc>
          <w:tcPr>
            <w:tcW w:w="4961" w:type="dxa"/>
          </w:tcPr>
          <w:p w:rsidR="005E4A87" w:rsidRPr="00EA4EB1" w:rsidRDefault="005E4A87" w:rsidP="00EA4EB1">
            <w:pPr>
              <w:numPr>
                <w:ilvl w:val="0"/>
                <w:numId w:val="14"/>
              </w:numPr>
              <w:ind w:left="317" w:right="176" w:hanging="283"/>
              <w:rPr>
                <w:sz w:val="20"/>
                <w:szCs w:val="20"/>
              </w:rPr>
            </w:pPr>
            <w:r w:rsidRPr="00EA4EB1">
              <w:rPr>
                <w:sz w:val="20"/>
                <w:szCs w:val="20"/>
              </w:rPr>
              <w:t xml:space="preserve">Fivush, R. (2011), The Development of Autobiographical Memory, </w:t>
            </w:r>
            <w:r w:rsidRPr="00EA4EB1">
              <w:rPr>
                <w:i/>
                <w:sz w:val="20"/>
                <w:szCs w:val="20"/>
              </w:rPr>
              <w:t>Annual Review of Psychology</w:t>
            </w:r>
            <w:r w:rsidRPr="00EA4EB1">
              <w:rPr>
                <w:sz w:val="20"/>
                <w:szCs w:val="20"/>
              </w:rPr>
              <w:t>, 62:</w:t>
            </w:r>
            <w:r w:rsidR="007C266E">
              <w:rPr>
                <w:sz w:val="20"/>
                <w:szCs w:val="20"/>
              </w:rPr>
              <w:t xml:space="preserve"> </w:t>
            </w:r>
            <w:r w:rsidRPr="00EA4EB1">
              <w:rPr>
                <w:sz w:val="20"/>
                <w:szCs w:val="20"/>
              </w:rPr>
              <w:t>559-82.</w:t>
            </w:r>
          </w:p>
          <w:p w:rsidR="00635FEF" w:rsidRPr="00EA4EB1" w:rsidRDefault="00635FEF" w:rsidP="00EA4EB1">
            <w:pPr>
              <w:tabs>
                <w:tab w:val="left" w:pos="432"/>
              </w:tabs>
              <w:ind w:left="317" w:right="176" w:hanging="283"/>
              <w:rPr>
                <w:sz w:val="20"/>
                <w:szCs w:val="20"/>
              </w:rPr>
            </w:pPr>
          </w:p>
          <w:p w:rsidR="00635FEF" w:rsidRPr="00EA4EB1" w:rsidRDefault="00635FEF" w:rsidP="00EA4EB1">
            <w:pPr>
              <w:tabs>
                <w:tab w:val="left" w:pos="432"/>
              </w:tabs>
              <w:ind w:left="317" w:right="176" w:hanging="283"/>
              <w:rPr>
                <w:sz w:val="20"/>
                <w:szCs w:val="20"/>
              </w:rPr>
            </w:pPr>
            <w:r w:rsidRPr="00EA4EB1">
              <w:rPr>
                <w:sz w:val="20"/>
                <w:szCs w:val="20"/>
              </w:rPr>
              <w:t>Optional:</w:t>
            </w:r>
          </w:p>
          <w:p w:rsidR="005E4A87" w:rsidRPr="00EA4EB1" w:rsidRDefault="005E4A87" w:rsidP="00EA4EB1">
            <w:pPr>
              <w:numPr>
                <w:ilvl w:val="0"/>
                <w:numId w:val="14"/>
              </w:numPr>
              <w:tabs>
                <w:tab w:val="left" w:pos="-720"/>
              </w:tabs>
              <w:suppressAutoHyphens/>
              <w:ind w:left="317" w:right="176" w:hanging="283"/>
              <w:rPr>
                <w:spacing w:val="-2"/>
                <w:sz w:val="20"/>
                <w:szCs w:val="20"/>
              </w:rPr>
            </w:pPr>
            <w:r w:rsidRPr="00EA4EB1">
              <w:rPr>
                <w:spacing w:val="-2"/>
                <w:sz w:val="20"/>
                <w:szCs w:val="20"/>
              </w:rPr>
              <w:t>Belli, R. F (1998)</w:t>
            </w:r>
            <w:r w:rsidR="00EA4EB1">
              <w:rPr>
                <w:spacing w:val="-2"/>
                <w:sz w:val="20"/>
                <w:szCs w:val="20"/>
              </w:rPr>
              <w:t>,</w:t>
            </w:r>
            <w:r w:rsidRPr="00EA4EB1">
              <w:rPr>
                <w:spacing w:val="-2"/>
                <w:sz w:val="20"/>
                <w:szCs w:val="20"/>
              </w:rPr>
              <w:t xml:space="preserve"> The structure of autobiographical memory and the event history calendar: Potential improvements in the quality of retrospective reports in surveys</w:t>
            </w:r>
            <w:r w:rsidR="00D50601">
              <w:rPr>
                <w:spacing w:val="-2"/>
                <w:sz w:val="20"/>
                <w:szCs w:val="20"/>
              </w:rPr>
              <w:t>,</w:t>
            </w:r>
            <w:r w:rsidRPr="00EA4EB1">
              <w:rPr>
                <w:spacing w:val="-2"/>
                <w:sz w:val="20"/>
                <w:szCs w:val="20"/>
              </w:rPr>
              <w:t xml:space="preserve"> </w:t>
            </w:r>
            <w:r w:rsidRPr="00EA4EB1">
              <w:rPr>
                <w:i/>
                <w:iCs/>
                <w:spacing w:val="-2"/>
                <w:sz w:val="20"/>
                <w:szCs w:val="20"/>
              </w:rPr>
              <w:t>Memory</w:t>
            </w:r>
            <w:r w:rsidRPr="00EA4EB1">
              <w:rPr>
                <w:spacing w:val="-2"/>
                <w:sz w:val="20"/>
                <w:szCs w:val="20"/>
              </w:rPr>
              <w:t>, 6</w:t>
            </w:r>
            <w:r w:rsidR="007C266E">
              <w:rPr>
                <w:spacing w:val="-2"/>
                <w:sz w:val="20"/>
                <w:szCs w:val="20"/>
              </w:rPr>
              <w:t>:</w:t>
            </w:r>
            <w:r w:rsidRPr="00EA4EB1">
              <w:rPr>
                <w:spacing w:val="-2"/>
                <w:sz w:val="20"/>
                <w:szCs w:val="20"/>
              </w:rPr>
              <w:t xml:space="preserve"> 383-406.</w:t>
            </w:r>
          </w:p>
          <w:p w:rsidR="0004023B" w:rsidRPr="00EA4EB1" w:rsidRDefault="0004023B" w:rsidP="00EB4C4A">
            <w:pPr>
              <w:numPr>
                <w:ilvl w:val="0"/>
                <w:numId w:val="14"/>
              </w:numPr>
              <w:tabs>
                <w:tab w:val="left" w:pos="-720"/>
              </w:tabs>
              <w:suppressAutoHyphens/>
              <w:ind w:left="317" w:right="176" w:hanging="283"/>
              <w:rPr>
                <w:sz w:val="20"/>
                <w:szCs w:val="20"/>
              </w:rPr>
            </w:pPr>
            <w:r w:rsidRPr="00EA4EB1">
              <w:rPr>
                <w:spacing w:val="-2"/>
                <w:sz w:val="20"/>
                <w:szCs w:val="20"/>
              </w:rPr>
              <w:t xml:space="preserve">Rips, L.J., Conrad, F.G., and Fricker, S.S. (2003), </w:t>
            </w:r>
            <w:r w:rsidR="007C266E">
              <w:rPr>
                <w:spacing w:val="-2"/>
                <w:sz w:val="20"/>
                <w:szCs w:val="20"/>
              </w:rPr>
              <w:t>Straightening the S</w:t>
            </w:r>
            <w:r w:rsidRPr="00EA4EB1">
              <w:rPr>
                <w:spacing w:val="-2"/>
                <w:sz w:val="20"/>
                <w:szCs w:val="20"/>
              </w:rPr>
              <w:t xml:space="preserve">eam Effects in Panel Surveys, </w:t>
            </w:r>
            <w:r w:rsidRPr="00EA4EB1">
              <w:rPr>
                <w:i/>
                <w:iCs/>
                <w:spacing w:val="-2"/>
                <w:sz w:val="20"/>
                <w:szCs w:val="20"/>
              </w:rPr>
              <w:t>Public Opinion Quarterly</w:t>
            </w:r>
            <w:r w:rsidRPr="00EA4EB1">
              <w:rPr>
                <w:spacing w:val="-2"/>
                <w:sz w:val="20"/>
                <w:szCs w:val="20"/>
              </w:rPr>
              <w:t>, 47(4), 522-554.</w:t>
            </w:r>
          </w:p>
        </w:tc>
      </w:tr>
      <w:tr w:rsidR="00635FEF" w:rsidTr="00EA4EB1">
        <w:tc>
          <w:tcPr>
            <w:tcW w:w="1276" w:type="dxa"/>
          </w:tcPr>
          <w:p w:rsidR="00635FEF" w:rsidRDefault="00635FEF" w:rsidP="001D440E">
            <w:pPr>
              <w:ind w:right="-568"/>
              <w:rPr>
                <w:sz w:val="20"/>
              </w:rPr>
            </w:pPr>
            <w:r>
              <w:rPr>
                <w:sz w:val="20"/>
              </w:rPr>
              <w:t>July 2</w:t>
            </w:r>
            <w:r w:rsidR="001D440E">
              <w:rPr>
                <w:sz w:val="20"/>
              </w:rPr>
              <w:t>1</w:t>
            </w:r>
          </w:p>
        </w:tc>
        <w:tc>
          <w:tcPr>
            <w:tcW w:w="3686" w:type="dxa"/>
          </w:tcPr>
          <w:p w:rsidR="00A626F0" w:rsidRPr="00A626F0" w:rsidRDefault="00A626F0" w:rsidP="00230437">
            <w:pPr>
              <w:pStyle w:val="ListParagraph"/>
              <w:numPr>
                <w:ilvl w:val="0"/>
                <w:numId w:val="35"/>
              </w:numPr>
              <w:spacing w:after="120"/>
              <w:ind w:right="175"/>
              <w:rPr>
                <w:b/>
                <w:bCs/>
                <w:color w:val="000000"/>
                <w:sz w:val="20"/>
                <w:szCs w:val="20"/>
                <w:lang w:eastAsia="en-GB"/>
              </w:rPr>
            </w:pPr>
            <w:r w:rsidRPr="00A626F0">
              <w:rPr>
                <w:b/>
                <w:bCs/>
                <w:color w:val="000000"/>
                <w:sz w:val="20"/>
                <w:szCs w:val="20"/>
                <w:lang w:eastAsia="en-GB"/>
              </w:rPr>
              <w:t>Workshop 3: Critiquing a survey question that posing memory difficulties</w:t>
            </w:r>
          </w:p>
          <w:p w:rsidR="00A626F0" w:rsidRPr="00A626F0" w:rsidRDefault="00A626F0" w:rsidP="00230437">
            <w:pPr>
              <w:pStyle w:val="ListParagraph"/>
              <w:numPr>
                <w:ilvl w:val="0"/>
                <w:numId w:val="35"/>
              </w:numPr>
              <w:spacing w:after="120"/>
              <w:ind w:right="175"/>
              <w:rPr>
                <w:color w:val="000000"/>
                <w:sz w:val="20"/>
                <w:szCs w:val="20"/>
                <w:lang w:eastAsia="en-GB"/>
              </w:rPr>
            </w:pPr>
            <w:r w:rsidRPr="00A626F0">
              <w:rPr>
                <w:color w:val="000000"/>
                <w:sz w:val="20"/>
                <w:szCs w:val="20"/>
                <w:lang w:eastAsia="en-GB"/>
              </w:rPr>
              <w:t>Alternative methods of data collection to minimise memory error (e.g., event history calendars, internet enabled devices, GPS)</w:t>
            </w:r>
          </w:p>
          <w:p w:rsidR="00A626F0" w:rsidRPr="00A626F0" w:rsidRDefault="00A626F0" w:rsidP="00230437">
            <w:pPr>
              <w:pStyle w:val="ListParagraph"/>
              <w:numPr>
                <w:ilvl w:val="0"/>
                <w:numId w:val="35"/>
              </w:numPr>
              <w:spacing w:after="120"/>
              <w:ind w:right="175"/>
              <w:rPr>
                <w:color w:val="000000"/>
                <w:sz w:val="20"/>
                <w:szCs w:val="20"/>
                <w:lang w:eastAsia="en-GB"/>
              </w:rPr>
            </w:pPr>
            <w:r w:rsidRPr="00A626F0">
              <w:rPr>
                <w:color w:val="000000"/>
                <w:sz w:val="20"/>
                <w:szCs w:val="20"/>
                <w:lang w:eastAsia="en-GB"/>
              </w:rPr>
              <w:t>What do subjective question measure?</w:t>
            </w:r>
          </w:p>
          <w:p w:rsidR="00A626F0" w:rsidRPr="00A626F0" w:rsidRDefault="00A626F0" w:rsidP="00230437">
            <w:pPr>
              <w:pStyle w:val="ListParagraph"/>
              <w:numPr>
                <w:ilvl w:val="0"/>
                <w:numId w:val="35"/>
              </w:numPr>
              <w:spacing w:after="120"/>
              <w:ind w:right="175"/>
              <w:rPr>
                <w:color w:val="000000"/>
                <w:sz w:val="20"/>
                <w:szCs w:val="20"/>
                <w:lang w:eastAsia="en-GB"/>
              </w:rPr>
            </w:pPr>
            <w:r w:rsidRPr="00A626F0">
              <w:rPr>
                <w:color w:val="000000"/>
                <w:sz w:val="20"/>
                <w:szCs w:val="20"/>
                <w:lang w:eastAsia="en-GB"/>
              </w:rPr>
              <w:t>Stability and instability of attitudes</w:t>
            </w:r>
          </w:p>
          <w:p w:rsidR="00A626F0" w:rsidRPr="00A626F0" w:rsidRDefault="00A626F0" w:rsidP="00230437">
            <w:pPr>
              <w:pStyle w:val="ListParagraph"/>
              <w:numPr>
                <w:ilvl w:val="0"/>
                <w:numId w:val="35"/>
              </w:numPr>
              <w:spacing w:after="120"/>
              <w:ind w:right="175"/>
              <w:rPr>
                <w:color w:val="000000"/>
                <w:sz w:val="20"/>
                <w:szCs w:val="20"/>
                <w:lang w:eastAsia="en-GB"/>
              </w:rPr>
            </w:pPr>
            <w:r w:rsidRPr="00A626F0">
              <w:rPr>
                <w:color w:val="000000"/>
                <w:sz w:val="20"/>
                <w:szCs w:val="20"/>
                <w:lang w:eastAsia="en-GB"/>
              </w:rPr>
              <w:t>Changing attitudes to change behavioral intentions to changes behaviors</w:t>
            </w:r>
          </w:p>
          <w:p w:rsidR="00A626F0" w:rsidRPr="00A626F0" w:rsidRDefault="00A626F0" w:rsidP="00230437">
            <w:pPr>
              <w:pStyle w:val="ListParagraph"/>
              <w:numPr>
                <w:ilvl w:val="0"/>
                <w:numId w:val="35"/>
              </w:numPr>
              <w:spacing w:after="120"/>
              <w:ind w:right="175"/>
              <w:rPr>
                <w:color w:val="000000"/>
                <w:sz w:val="20"/>
                <w:szCs w:val="20"/>
                <w:lang w:eastAsia="en-GB"/>
              </w:rPr>
            </w:pPr>
            <w:r w:rsidRPr="00A626F0">
              <w:rPr>
                <w:color w:val="000000"/>
                <w:sz w:val="20"/>
                <w:szCs w:val="20"/>
                <w:lang w:eastAsia="en-GB"/>
              </w:rPr>
              <w:t>Satisfaction and other customer experience metrics</w:t>
            </w:r>
          </w:p>
          <w:p w:rsidR="00A626F0" w:rsidRPr="00A626F0" w:rsidRDefault="00A626F0" w:rsidP="00230437">
            <w:pPr>
              <w:pStyle w:val="ListParagraph"/>
              <w:numPr>
                <w:ilvl w:val="0"/>
                <w:numId w:val="35"/>
              </w:numPr>
              <w:spacing w:after="120"/>
              <w:ind w:right="175"/>
              <w:rPr>
                <w:b/>
                <w:bCs/>
                <w:color w:val="000000"/>
                <w:sz w:val="20"/>
                <w:szCs w:val="20"/>
                <w:lang w:eastAsia="en-GB"/>
              </w:rPr>
            </w:pPr>
            <w:r w:rsidRPr="00A626F0">
              <w:rPr>
                <w:b/>
                <w:bCs/>
                <w:color w:val="000000"/>
                <w:sz w:val="20"/>
                <w:szCs w:val="20"/>
                <w:lang w:eastAsia="en-GB"/>
              </w:rPr>
              <w:t>Workshop 4: Critiquing a subjective survey question</w:t>
            </w:r>
          </w:p>
          <w:p w:rsidR="00635FEF" w:rsidRPr="00A626F0" w:rsidRDefault="00635FEF" w:rsidP="00EA4EB1">
            <w:pPr>
              <w:tabs>
                <w:tab w:val="left" w:pos="277"/>
              </w:tabs>
              <w:spacing w:after="120"/>
              <w:ind w:left="317" w:right="175" w:hanging="283"/>
              <w:rPr>
                <w:bCs/>
                <w:sz w:val="20"/>
                <w:szCs w:val="20"/>
              </w:rPr>
            </w:pPr>
          </w:p>
        </w:tc>
        <w:tc>
          <w:tcPr>
            <w:tcW w:w="4961" w:type="dxa"/>
          </w:tcPr>
          <w:p w:rsidR="00E86290" w:rsidRPr="00EA4EB1" w:rsidRDefault="00E86290" w:rsidP="00EA4EB1">
            <w:pPr>
              <w:pStyle w:val="ListParagraph"/>
              <w:numPr>
                <w:ilvl w:val="0"/>
                <w:numId w:val="35"/>
              </w:numPr>
              <w:autoSpaceDE w:val="0"/>
              <w:autoSpaceDN w:val="0"/>
              <w:adjustRightInd w:val="0"/>
              <w:ind w:left="317" w:right="176" w:hanging="283"/>
              <w:rPr>
                <w:spacing w:val="4"/>
                <w:sz w:val="20"/>
                <w:szCs w:val="20"/>
                <w:shd w:val="clear" w:color="auto" w:fill="FCFCFC"/>
              </w:rPr>
            </w:pPr>
            <w:r w:rsidRPr="00EA4EB1">
              <w:rPr>
                <w:sz w:val="20"/>
                <w:szCs w:val="20"/>
                <w:lang w:eastAsia="en-GB"/>
              </w:rPr>
              <w:lastRenderedPageBreak/>
              <w:t>Belli, R. F., Smith, L. M., Andreski, P. M., &amp; Agrawal, S. (2007)</w:t>
            </w:r>
            <w:r w:rsidR="00D50601">
              <w:rPr>
                <w:sz w:val="20"/>
                <w:szCs w:val="20"/>
                <w:lang w:eastAsia="en-GB"/>
              </w:rPr>
              <w:t>,</w:t>
            </w:r>
            <w:r w:rsidRPr="00EA4EB1">
              <w:rPr>
                <w:sz w:val="20"/>
                <w:szCs w:val="20"/>
                <w:lang w:eastAsia="en-GB"/>
              </w:rPr>
              <w:t xml:space="preserve"> Methodological Comparisons between CATI Event History Calendar and Standardized Conventional Questionnaire Instruments</w:t>
            </w:r>
            <w:r w:rsidR="00EA4EB1">
              <w:rPr>
                <w:sz w:val="20"/>
                <w:szCs w:val="20"/>
                <w:lang w:eastAsia="en-GB"/>
              </w:rPr>
              <w:t>,</w:t>
            </w:r>
            <w:r w:rsidRPr="00EA4EB1">
              <w:rPr>
                <w:sz w:val="20"/>
                <w:szCs w:val="20"/>
                <w:lang w:eastAsia="en-GB"/>
              </w:rPr>
              <w:t xml:space="preserve"> </w:t>
            </w:r>
            <w:r w:rsidRPr="00EA4EB1">
              <w:rPr>
                <w:i/>
                <w:sz w:val="20"/>
                <w:szCs w:val="20"/>
                <w:lang w:eastAsia="en-GB"/>
              </w:rPr>
              <w:t>Public Opinion Quarterly</w:t>
            </w:r>
            <w:r w:rsidRPr="00EA4EB1">
              <w:rPr>
                <w:sz w:val="20"/>
                <w:szCs w:val="20"/>
                <w:lang w:eastAsia="en-GB"/>
              </w:rPr>
              <w:t>, 71(4)</w:t>
            </w:r>
            <w:r w:rsidR="007C266E">
              <w:rPr>
                <w:sz w:val="20"/>
                <w:szCs w:val="20"/>
                <w:lang w:eastAsia="en-GB"/>
              </w:rPr>
              <w:t>:</w:t>
            </w:r>
            <w:r w:rsidRPr="00EA4EB1">
              <w:rPr>
                <w:sz w:val="20"/>
                <w:szCs w:val="20"/>
                <w:lang w:eastAsia="en-GB"/>
              </w:rPr>
              <w:t xml:space="preserve"> 603–622.</w:t>
            </w:r>
          </w:p>
          <w:p w:rsidR="007C2096" w:rsidRPr="00EA4EB1" w:rsidRDefault="007C2096" w:rsidP="00EA4EB1">
            <w:pPr>
              <w:pStyle w:val="ListParagraph"/>
              <w:numPr>
                <w:ilvl w:val="0"/>
                <w:numId w:val="35"/>
              </w:numPr>
              <w:autoSpaceDE w:val="0"/>
              <w:autoSpaceDN w:val="0"/>
              <w:adjustRightInd w:val="0"/>
              <w:ind w:left="317" w:right="176" w:hanging="283"/>
              <w:rPr>
                <w:sz w:val="20"/>
                <w:szCs w:val="20"/>
                <w:lang w:eastAsia="en-GB"/>
              </w:rPr>
            </w:pPr>
            <w:r w:rsidRPr="00EA4EB1">
              <w:rPr>
                <w:sz w:val="20"/>
                <w:szCs w:val="20"/>
                <w:lang w:eastAsia="en-GB"/>
              </w:rPr>
              <w:t xml:space="preserve">Anderson, T., Abeywardana, V., Wolf, J. and Lee, M. (2009), </w:t>
            </w:r>
            <w:r w:rsidRPr="00EA4EB1">
              <w:rPr>
                <w:i/>
                <w:sz w:val="20"/>
                <w:szCs w:val="20"/>
                <w:lang w:eastAsia="en-GB"/>
              </w:rPr>
              <w:t>National Travel Survey GPS Feasibility Study</w:t>
            </w:r>
            <w:r w:rsidR="00D50601">
              <w:rPr>
                <w:i/>
                <w:sz w:val="20"/>
                <w:szCs w:val="20"/>
                <w:lang w:eastAsia="en-GB"/>
              </w:rPr>
              <w:t>,</w:t>
            </w:r>
            <w:r w:rsidRPr="00EA4EB1">
              <w:rPr>
                <w:sz w:val="20"/>
                <w:szCs w:val="20"/>
                <w:lang w:eastAsia="en-GB"/>
              </w:rPr>
              <w:t xml:space="preserve"> Final Report, National Centre for Social Research</w:t>
            </w:r>
            <w:r w:rsidR="00EA4EB1">
              <w:rPr>
                <w:sz w:val="20"/>
                <w:szCs w:val="20"/>
                <w:lang w:eastAsia="en-GB"/>
              </w:rPr>
              <w:t>.</w:t>
            </w:r>
            <w:r w:rsidR="00D96E08">
              <w:rPr>
                <w:sz w:val="20"/>
                <w:szCs w:val="20"/>
                <w:lang w:eastAsia="en-GB"/>
              </w:rPr>
              <w:t xml:space="preserve"> NOTE THAT THE APPENDICES ARE NOT REQUIRED</w:t>
            </w:r>
          </w:p>
          <w:p w:rsidR="005C53D6" w:rsidRPr="00EA4EB1" w:rsidRDefault="007C2096" w:rsidP="00EA4EB1">
            <w:pPr>
              <w:pStyle w:val="ListParagraph"/>
              <w:numPr>
                <w:ilvl w:val="0"/>
                <w:numId w:val="35"/>
              </w:numPr>
              <w:ind w:left="317" w:right="176" w:hanging="283"/>
              <w:rPr>
                <w:spacing w:val="4"/>
                <w:sz w:val="20"/>
                <w:szCs w:val="20"/>
                <w:shd w:val="clear" w:color="auto" w:fill="FCFCFC"/>
              </w:rPr>
            </w:pPr>
            <w:r w:rsidRPr="00EA4EB1">
              <w:rPr>
                <w:spacing w:val="4"/>
                <w:sz w:val="20"/>
                <w:szCs w:val="20"/>
                <w:shd w:val="clear" w:color="auto" w:fill="FCFCFC"/>
              </w:rPr>
              <w:t>Petrocelli, J.V. et al (2010), Perceiving Stability As a Means to Attitu</w:t>
            </w:r>
            <w:r w:rsidR="00E86290" w:rsidRPr="00EA4EB1">
              <w:rPr>
                <w:spacing w:val="4"/>
                <w:sz w:val="20"/>
                <w:szCs w:val="20"/>
                <w:shd w:val="clear" w:color="auto" w:fill="FCFCFC"/>
              </w:rPr>
              <w:t>d</w:t>
            </w:r>
            <w:r w:rsidRPr="00EA4EB1">
              <w:rPr>
                <w:spacing w:val="4"/>
                <w:sz w:val="20"/>
                <w:szCs w:val="20"/>
                <w:shd w:val="clear" w:color="auto" w:fill="FCFCFC"/>
              </w:rPr>
              <w:t>e Certainty:</w:t>
            </w:r>
            <w:r w:rsidR="00E86290" w:rsidRPr="00EA4EB1">
              <w:rPr>
                <w:spacing w:val="4"/>
                <w:sz w:val="20"/>
                <w:szCs w:val="20"/>
                <w:shd w:val="clear" w:color="auto" w:fill="FCFCFC"/>
              </w:rPr>
              <w:t xml:space="preserve"> </w:t>
            </w:r>
            <w:r w:rsidRPr="00EA4EB1">
              <w:rPr>
                <w:spacing w:val="4"/>
                <w:sz w:val="20"/>
                <w:szCs w:val="20"/>
                <w:shd w:val="clear" w:color="auto" w:fill="FCFCFC"/>
              </w:rPr>
              <w:t xml:space="preserve">The Role of Implicit Theories of Attitudes, </w:t>
            </w:r>
            <w:r w:rsidRPr="00EA4EB1">
              <w:rPr>
                <w:i/>
                <w:spacing w:val="4"/>
                <w:sz w:val="20"/>
                <w:szCs w:val="20"/>
                <w:shd w:val="clear" w:color="auto" w:fill="FCFCFC"/>
              </w:rPr>
              <w:t>Journal of Experimental Social Psychology</w:t>
            </w:r>
            <w:r w:rsidRPr="00EA4EB1">
              <w:rPr>
                <w:spacing w:val="4"/>
                <w:sz w:val="20"/>
                <w:szCs w:val="20"/>
                <w:shd w:val="clear" w:color="auto" w:fill="FCFCFC"/>
              </w:rPr>
              <w:t xml:space="preserve">, 46: 874-883. </w:t>
            </w:r>
          </w:p>
          <w:p w:rsidR="0004023B" w:rsidRPr="00EA4EB1" w:rsidRDefault="0004023B" w:rsidP="00EA4EB1">
            <w:pPr>
              <w:pStyle w:val="ListParagraph"/>
              <w:tabs>
                <w:tab w:val="left" w:pos="-720"/>
              </w:tabs>
              <w:suppressAutoHyphens/>
              <w:ind w:left="317" w:right="176" w:hanging="283"/>
              <w:rPr>
                <w:color w:val="000000" w:themeColor="text1"/>
                <w:spacing w:val="-2"/>
                <w:sz w:val="20"/>
                <w:szCs w:val="20"/>
              </w:rPr>
            </w:pPr>
          </w:p>
          <w:p w:rsidR="0004023B" w:rsidRPr="00EA4EB1" w:rsidRDefault="0004023B" w:rsidP="00EA4EB1">
            <w:pPr>
              <w:tabs>
                <w:tab w:val="left" w:pos="432"/>
              </w:tabs>
              <w:ind w:left="317" w:right="176" w:hanging="283"/>
              <w:rPr>
                <w:sz w:val="20"/>
                <w:szCs w:val="20"/>
              </w:rPr>
            </w:pPr>
            <w:r w:rsidRPr="00EA4EB1">
              <w:rPr>
                <w:sz w:val="20"/>
                <w:szCs w:val="20"/>
              </w:rPr>
              <w:t>Optional:</w:t>
            </w:r>
          </w:p>
          <w:p w:rsidR="00EB4C4A" w:rsidRDefault="00EB4C4A" w:rsidP="007C266E">
            <w:pPr>
              <w:pStyle w:val="ListParagraph"/>
              <w:numPr>
                <w:ilvl w:val="0"/>
                <w:numId w:val="8"/>
              </w:numPr>
              <w:tabs>
                <w:tab w:val="left" w:pos="-720"/>
              </w:tabs>
              <w:suppressAutoHyphens/>
              <w:ind w:left="317" w:right="176" w:hanging="283"/>
              <w:rPr>
                <w:sz w:val="20"/>
                <w:szCs w:val="20"/>
              </w:rPr>
            </w:pPr>
            <w:r w:rsidRPr="00EA4EB1">
              <w:rPr>
                <w:sz w:val="20"/>
                <w:szCs w:val="20"/>
              </w:rPr>
              <w:t xml:space="preserve">Smith, T. (1984), </w:t>
            </w:r>
            <w:r w:rsidRPr="007C266E">
              <w:rPr>
                <w:sz w:val="20"/>
                <w:szCs w:val="20"/>
              </w:rPr>
              <w:t>The Subjectivity of Ethnicity</w:t>
            </w:r>
            <w:r w:rsidRPr="00EA4EB1">
              <w:rPr>
                <w:sz w:val="20"/>
                <w:szCs w:val="20"/>
              </w:rPr>
              <w:t xml:space="preserve">, in </w:t>
            </w:r>
            <w:r w:rsidRPr="00EA4EB1">
              <w:rPr>
                <w:sz w:val="20"/>
                <w:szCs w:val="20"/>
              </w:rPr>
              <w:lastRenderedPageBreak/>
              <w:t xml:space="preserve">C.F. Turner and E. Martin, </w:t>
            </w:r>
            <w:r w:rsidRPr="007C266E">
              <w:rPr>
                <w:i/>
                <w:sz w:val="20"/>
                <w:szCs w:val="20"/>
              </w:rPr>
              <w:t>Surveying Subjective Phenomena</w:t>
            </w:r>
            <w:r w:rsidRPr="00EA4EB1">
              <w:rPr>
                <w:sz w:val="20"/>
                <w:szCs w:val="20"/>
              </w:rPr>
              <w:t>, Volume 2, New York: Russell Sage Foundation</w:t>
            </w:r>
            <w:r>
              <w:rPr>
                <w:sz w:val="20"/>
                <w:szCs w:val="20"/>
              </w:rPr>
              <w:t>,</w:t>
            </w:r>
            <w:r w:rsidRPr="00EA4EB1">
              <w:rPr>
                <w:sz w:val="20"/>
                <w:szCs w:val="20"/>
              </w:rPr>
              <w:t xml:space="preserve"> </w:t>
            </w:r>
            <w:r>
              <w:rPr>
                <w:sz w:val="20"/>
                <w:szCs w:val="20"/>
              </w:rPr>
              <w:t>p</w:t>
            </w:r>
            <w:r w:rsidRPr="00EA4EB1">
              <w:rPr>
                <w:sz w:val="20"/>
                <w:szCs w:val="20"/>
              </w:rPr>
              <w:t>ages 117-128.</w:t>
            </w:r>
          </w:p>
          <w:p w:rsidR="0004023B" w:rsidRPr="00EA4EB1" w:rsidRDefault="00D96E08" w:rsidP="007C266E">
            <w:pPr>
              <w:pStyle w:val="ListParagraph"/>
              <w:numPr>
                <w:ilvl w:val="0"/>
                <w:numId w:val="8"/>
              </w:numPr>
              <w:tabs>
                <w:tab w:val="left" w:pos="-720"/>
              </w:tabs>
              <w:suppressAutoHyphens/>
              <w:ind w:left="317" w:right="176" w:hanging="283"/>
              <w:rPr>
                <w:sz w:val="20"/>
                <w:szCs w:val="20"/>
              </w:rPr>
            </w:pPr>
            <w:r>
              <w:rPr>
                <w:sz w:val="20"/>
                <w:szCs w:val="20"/>
              </w:rPr>
              <w:t>Morselli, D., Le Goff, J.M. and Gauthier, J.A. (2018), Self-Administered Event History Calendars: A Possibility for Surveys</w:t>
            </w:r>
            <w:r w:rsidRPr="007C266E">
              <w:rPr>
                <w:sz w:val="20"/>
                <w:szCs w:val="20"/>
              </w:rPr>
              <w:t>?</w:t>
            </w:r>
            <w:r w:rsidRPr="007C266E">
              <w:rPr>
                <w:i/>
                <w:sz w:val="20"/>
                <w:szCs w:val="20"/>
              </w:rPr>
              <w:t xml:space="preserve"> </w:t>
            </w:r>
            <w:r w:rsidR="007C266E" w:rsidRPr="007C266E">
              <w:rPr>
                <w:i/>
                <w:sz w:val="20"/>
                <w:szCs w:val="20"/>
              </w:rPr>
              <w:t>Contemporary Social Science</w:t>
            </w:r>
            <w:r>
              <w:rPr>
                <w:sz w:val="20"/>
                <w:szCs w:val="20"/>
              </w:rPr>
              <w:t>, 1-24.</w:t>
            </w:r>
          </w:p>
        </w:tc>
      </w:tr>
      <w:tr w:rsidR="00635FEF" w:rsidTr="00EA4EB1">
        <w:tc>
          <w:tcPr>
            <w:tcW w:w="1276" w:type="dxa"/>
          </w:tcPr>
          <w:p w:rsidR="00635FEF" w:rsidRDefault="00635FEF" w:rsidP="001D440E">
            <w:pPr>
              <w:ind w:right="-568"/>
              <w:rPr>
                <w:sz w:val="20"/>
              </w:rPr>
            </w:pPr>
            <w:r>
              <w:rPr>
                <w:sz w:val="20"/>
              </w:rPr>
              <w:lastRenderedPageBreak/>
              <w:t>July 2</w:t>
            </w:r>
            <w:r w:rsidR="001D440E">
              <w:rPr>
                <w:sz w:val="20"/>
              </w:rPr>
              <w:t>2</w:t>
            </w:r>
            <w:r>
              <w:rPr>
                <w:sz w:val="20"/>
              </w:rPr>
              <w:t>, PM</w:t>
            </w:r>
          </w:p>
        </w:tc>
        <w:tc>
          <w:tcPr>
            <w:tcW w:w="3686" w:type="dxa"/>
          </w:tcPr>
          <w:p w:rsidR="00A626F0" w:rsidRPr="00A626F0" w:rsidRDefault="00A626F0" w:rsidP="00EA4EB1">
            <w:pPr>
              <w:pStyle w:val="ListParagraph"/>
              <w:numPr>
                <w:ilvl w:val="0"/>
                <w:numId w:val="36"/>
              </w:numPr>
              <w:spacing w:after="120"/>
              <w:ind w:left="317" w:right="175" w:hanging="283"/>
              <w:rPr>
                <w:color w:val="000000"/>
                <w:sz w:val="20"/>
                <w:szCs w:val="20"/>
                <w:lang w:eastAsia="en-GB"/>
              </w:rPr>
            </w:pPr>
            <w:r w:rsidRPr="00A626F0">
              <w:rPr>
                <w:color w:val="000000"/>
                <w:sz w:val="20"/>
                <w:szCs w:val="20"/>
                <w:lang w:eastAsia="en-GB"/>
              </w:rPr>
              <w:t>Alternative methods of data collection to measure subjective phenomenon (e.g., Introductions to factorial surveys and multi-item scales)</w:t>
            </w:r>
          </w:p>
          <w:p w:rsidR="00A626F0" w:rsidRPr="00A626F0" w:rsidRDefault="00A626F0" w:rsidP="00EA4EB1">
            <w:pPr>
              <w:pStyle w:val="ListParagraph"/>
              <w:numPr>
                <w:ilvl w:val="0"/>
                <w:numId w:val="36"/>
              </w:numPr>
              <w:spacing w:after="120"/>
              <w:ind w:left="317" w:right="175" w:hanging="283"/>
              <w:rPr>
                <w:b/>
                <w:bCs/>
                <w:color w:val="000000"/>
                <w:sz w:val="20"/>
                <w:szCs w:val="20"/>
                <w:lang w:eastAsia="en-GB"/>
              </w:rPr>
            </w:pPr>
            <w:r w:rsidRPr="00A626F0">
              <w:rPr>
                <w:b/>
                <w:bCs/>
                <w:color w:val="000000"/>
                <w:sz w:val="20"/>
                <w:szCs w:val="20"/>
                <w:lang w:eastAsia="en-GB"/>
              </w:rPr>
              <w:t xml:space="preserve">Workshop 5: Critiquing </w:t>
            </w:r>
            <w:r w:rsidR="00EB4C4A">
              <w:rPr>
                <w:b/>
                <w:bCs/>
                <w:color w:val="000000"/>
                <w:sz w:val="20"/>
                <w:szCs w:val="20"/>
                <w:lang w:eastAsia="en-GB"/>
              </w:rPr>
              <w:t xml:space="preserve">a </w:t>
            </w:r>
            <w:r w:rsidRPr="00A626F0">
              <w:rPr>
                <w:b/>
                <w:bCs/>
                <w:color w:val="000000"/>
                <w:sz w:val="20"/>
                <w:szCs w:val="20"/>
                <w:lang w:eastAsia="en-GB"/>
              </w:rPr>
              <w:t xml:space="preserve"> multi-item scales</w:t>
            </w:r>
          </w:p>
          <w:p w:rsidR="00A626F0" w:rsidRPr="00A626F0" w:rsidRDefault="00A626F0" w:rsidP="00EA4EB1">
            <w:pPr>
              <w:pStyle w:val="ListParagraph"/>
              <w:numPr>
                <w:ilvl w:val="0"/>
                <w:numId w:val="36"/>
              </w:numPr>
              <w:spacing w:after="120"/>
              <w:ind w:left="317" w:right="175" w:hanging="283"/>
              <w:rPr>
                <w:color w:val="000000"/>
                <w:sz w:val="20"/>
                <w:szCs w:val="20"/>
                <w:lang w:eastAsia="en-GB"/>
              </w:rPr>
            </w:pPr>
            <w:r w:rsidRPr="00A626F0">
              <w:rPr>
                <w:color w:val="000000"/>
                <w:sz w:val="20"/>
                <w:szCs w:val="20"/>
                <w:lang w:eastAsia="en-GB"/>
              </w:rPr>
              <w:t xml:space="preserve">Ways to translate survey questions </w:t>
            </w:r>
          </w:p>
          <w:p w:rsidR="007F2647" w:rsidRPr="00BB0991" w:rsidRDefault="00BB0991" w:rsidP="00BB0991">
            <w:pPr>
              <w:pStyle w:val="ListParagraph"/>
              <w:numPr>
                <w:ilvl w:val="0"/>
                <w:numId w:val="36"/>
              </w:numPr>
              <w:spacing w:after="120"/>
              <w:ind w:left="317" w:right="175" w:hanging="283"/>
              <w:rPr>
                <w:b/>
                <w:bCs/>
                <w:sz w:val="20"/>
                <w:szCs w:val="20"/>
              </w:rPr>
            </w:pPr>
            <w:r w:rsidRPr="00BB0991">
              <w:rPr>
                <w:color w:val="000000"/>
                <w:sz w:val="20"/>
                <w:szCs w:val="20"/>
                <w:lang w:eastAsia="en-GB"/>
              </w:rPr>
              <w:t>Leading questions, time permit</w:t>
            </w:r>
            <w:r>
              <w:rPr>
                <w:color w:val="000000"/>
                <w:sz w:val="20"/>
                <w:szCs w:val="20"/>
                <w:lang w:eastAsia="en-GB"/>
              </w:rPr>
              <w:t>t</w:t>
            </w:r>
            <w:r w:rsidRPr="00BB0991">
              <w:rPr>
                <w:color w:val="000000"/>
                <w:sz w:val="20"/>
                <w:szCs w:val="20"/>
                <w:lang w:eastAsia="en-GB"/>
              </w:rPr>
              <w:t>ing</w:t>
            </w:r>
          </w:p>
        </w:tc>
        <w:tc>
          <w:tcPr>
            <w:tcW w:w="4961" w:type="dxa"/>
          </w:tcPr>
          <w:p w:rsidR="008E2B11" w:rsidRPr="00EA4EB1" w:rsidRDefault="008E2B11" w:rsidP="00EA4EB1">
            <w:pPr>
              <w:pStyle w:val="ListParagraph"/>
              <w:numPr>
                <w:ilvl w:val="0"/>
                <w:numId w:val="36"/>
              </w:numPr>
              <w:tabs>
                <w:tab w:val="left" w:pos="432"/>
              </w:tabs>
              <w:ind w:left="317" w:right="176" w:hanging="283"/>
              <w:rPr>
                <w:color w:val="000000"/>
                <w:sz w:val="20"/>
                <w:szCs w:val="20"/>
              </w:rPr>
            </w:pPr>
            <w:r w:rsidRPr="00EA4EB1">
              <w:rPr>
                <w:color w:val="000000"/>
                <w:sz w:val="20"/>
                <w:szCs w:val="20"/>
              </w:rPr>
              <w:t xml:space="preserve">Liebe, U. et al. (2017), Using Factorial Survey Experiments to Measure Attitudes, Social Norms, and Fairness Concerns in Developing Countries, </w:t>
            </w:r>
            <w:r w:rsidRPr="00EA4EB1">
              <w:rPr>
                <w:i/>
                <w:color w:val="000000"/>
                <w:sz w:val="20"/>
                <w:szCs w:val="20"/>
              </w:rPr>
              <w:t xml:space="preserve">Sociological Methods </w:t>
            </w:r>
            <w:r w:rsidR="007C266E">
              <w:rPr>
                <w:i/>
                <w:color w:val="000000"/>
                <w:sz w:val="20"/>
                <w:szCs w:val="20"/>
              </w:rPr>
              <w:t>and</w:t>
            </w:r>
            <w:r w:rsidRPr="00EA4EB1">
              <w:rPr>
                <w:i/>
                <w:color w:val="000000"/>
                <w:sz w:val="20"/>
                <w:szCs w:val="20"/>
              </w:rPr>
              <w:t xml:space="preserve"> Research</w:t>
            </w:r>
            <w:r w:rsidR="007C266E">
              <w:rPr>
                <w:color w:val="000000"/>
                <w:sz w:val="20"/>
                <w:szCs w:val="20"/>
              </w:rPr>
              <w:t>, 1-32.</w:t>
            </w:r>
          </w:p>
          <w:p w:rsidR="0004023B" w:rsidRPr="00EA4EB1" w:rsidRDefault="0004023B" w:rsidP="00EA4EB1">
            <w:pPr>
              <w:pStyle w:val="ListParagraph"/>
              <w:numPr>
                <w:ilvl w:val="0"/>
                <w:numId w:val="36"/>
              </w:numPr>
              <w:tabs>
                <w:tab w:val="left" w:pos="432"/>
              </w:tabs>
              <w:ind w:left="317" w:right="176" w:hanging="283"/>
              <w:rPr>
                <w:color w:val="000000"/>
                <w:sz w:val="20"/>
                <w:szCs w:val="20"/>
              </w:rPr>
            </w:pPr>
            <w:r w:rsidRPr="00EA4EB1">
              <w:rPr>
                <w:iCs/>
                <w:sz w:val="20"/>
                <w:szCs w:val="20"/>
              </w:rPr>
              <w:t>DeVellis</w:t>
            </w:r>
            <w:r w:rsidR="00EA4EB1">
              <w:rPr>
                <w:iCs/>
                <w:sz w:val="20"/>
                <w:szCs w:val="20"/>
              </w:rPr>
              <w:t>, R.</w:t>
            </w:r>
            <w:r w:rsidRPr="00EA4EB1">
              <w:rPr>
                <w:iCs/>
                <w:sz w:val="20"/>
                <w:szCs w:val="20"/>
              </w:rPr>
              <w:t xml:space="preserve"> (</w:t>
            </w:r>
            <w:r w:rsidR="00E86290" w:rsidRPr="00EA4EB1">
              <w:rPr>
                <w:iCs/>
                <w:sz w:val="20"/>
                <w:szCs w:val="20"/>
              </w:rPr>
              <w:t>2017)</w:t>
            </w:r>
            <w:r w:rsidR="00EA4EB1">
              <w:rPr>
                <w:iCs/>
                <w:sz w:val="20"/>
                <w:szCs w:val="20"/>
              </w:rPr>
              <w:t xml:space="preserve">, </w:t>
            </w:r>
            <w:r w:rsidR="00EA4EB1" w:rsidRPr="00EA4EB1">
              <w:rPr>
                <w:i/>
                <w:iCs/>
                <w:sz w:val="20"/>
                <w:szCs w:val="20"/>
              </w:rPr>
              <w:t>Scale Development</w:t>
            </w:r>
            <w:r w:rsidR="00EA4EB1">
              <w:rPr>
                <w:iCs/>
                <w:sz w:val="20"/>
                <w:szCs w:val="20"/>
              </w:rPr>
              <w:t xml:space="preserve">: </w:t>
            </w:r>
            <w:r w:rsidR="00EA4EB1" w:rsidRPr="00EA4EB1">
              <w:rPr>
                <w:i/>
                <w:iCs/>
                <w:sz w:val="20"/>
                <w:szCs w:val="20"/>
              </w:rPr>
              <w:t>Theory and Applications,</w:t>
            </w:r>
            <w:r w:rsidR="00EA4EB1">
              <w:rPr>
                <w:iCs/>
                <w:sz w:val="20"/>
                <w:szCs w:val="20"/>
              </w:rPr>
              <w:t xml:space="preserve"> University of North Carolina at Chapel Hill </w:t>
            </w:r>
            <w:r w:rsidR="00E86290" w:rsidRPr="00EA4EB1">
              <w:rPr>
                <w:iCs/>
                <w:sz w:val="20"/>
                <w:szCs w:val="20"/>
              </w:rPr>
              <w:t>-</w:t>
            </w:r>
            <w:r w:rsidRPr="00EA4EB1">
              <w:rPr>
                <w:iCs/>
                <w:sz w:val="20"/>
                <w:szCs w:val="20"/>
              </w:rPr>
              <w:t>Chapters</w:t>
            </w:r>
            <w:r w:rsidR="00E86290" w:rsidRPr="00EA4EB1">
              <w:rPr>
                <w:iCs/>
                <w:sz w:val="20"/>
                <w:szCs w:val="20"/>
              </w:rPr>
              <w:t xml:space="preserve"> 5</w:t>
            </w:r>
            <w:r w:rsidR="00EA4EB1">
              <w:rPr>
                <w:iCs/>
                <w:sz w:val="20"/>
                <w:szCs w:val="20"/>
              </w:rPr>
              <w:t>.</w:t>
            </w:r>
          </w:p>
          <w:p w:rsidR="00E86290" w:rsidRPr="00EA4EB1" w:rsidRDefault="00E86290" w:rsidP="00EA4EB1">
            <w:pPr>
              <w:pStyle w:val="ListParagraph"/>
              <w:numPr>
                <w:ilvl w:val="0"/>
                <w:numId w:val="36"/>
              </w:numPr>
              <w:tabs>
                <w:tab w:val="left" w:pos="432"/>
              </w:tabs>
              <w:ind w:left="317" w:right="176" w:hanging="283"/>
              <w:rPr>
                <w:color w:val="000000"/>
                <w:sz w:val="20"/>
                <w:szCs w:val="20"/>
              </w:rPr>
            </w:pPr>
            <w:r w:rsidRPr="00EA4EB1">
              <w:rPr>
                <w:color w:val="000000"/>
                <w:sz w:val="20"/>
                <w:szCs w:val="20"/>
              </w:rPr>
              <w:t>Forsyth, B.H., et al (2007), Methods for Translating an English-Language Survey Questionn</w:t>
            </w:r>
            <w:r w:rsidR="00EA4EB1">
              <w:rPr>
                <w:color w:val="000000"/>
                <w:sz w:val="20"/>
                <w:szCs w:val="20"/>
              </w:rPr>
              <w:t>ai</w:t>
            </w:r>
            <w:r w:rsidRPr="00EA4EB1">
              <w:rPr>
                <w:color w:val="000000"/>
                <w:sz w:val="20"/>
                <w:szCs w:val="20"/>
              </w:rPr>
              <w:t>re on Tobacco Use into Mandarin, Cantonese, Korean, and Vietnamese</w:t>
            </w:r>
            <w:r w:rsidR="008E2B11" w:rsidRPr="00EA4EB1">
              <w:rPr>
                <w:color w:val="000000"/>
                <w:sz w:val="20"/>
                <w:szCs w:val="20"/>
              </w:rPr>
              <w:t xml:space="preserve">, </w:t>
            </w:r>
            <w:r w:rsidR="008E2B11" w:rsidRPr="00EA4EB1">
              <w:rPr>
                <w:i/>
                <w:color w:val="000000"/>
                <w:sz w:val="20"/>
                <w:szCs w:val="20"/>
              </w:rPr>
              <w:t>Field Methods</w:t>
            </w:r>
            <w:r w:rsidR="007C266E">
              <w:rPr>
                <w:color w:val="000000"/>
                <w:sz w:val="20"/>
                <w:szCs w:val="20"/>
              </w:rPr>
              <w:t>, 264-283.</w:t>
            </w:r>
          </w:p>
          <w:p w:rsidR="00E86290" w:rsidRPr="00EA4EB1" w:rsidRDefault="00E86290" w:rsidP="00EA4EB1">
            <w:pPr>
              <w:tabs>
                <w:tab w:val="left" w:pos="432"/>
              </w:tabs>
              <w:ind w:left="317" w:right="176" w:hanging="283"/>
              <w:rPr>
                <w:sz w:val="20"/>
                <w:szCs w:val="20"/>
              </w:rPr>
            </w:pPr>
          </w:p>
          <w:p w:rsidR="00E86290" w:rsidRPr="00EA4EB1" w:rsidRDefault="00E86290" w:rsidP="00EA4EB1">
            <w:pPr>
              <w:tabs>
                <w:tab w:val="left" w:pos="432"/>
              </w:tabs>
              <w:ind w:left="317" w:right="176" w:hanging="283"/>
              <w:rPr>
                <w:sz w:val="20"/>
                <w:szCs w:val="20"/>
              </w:rPr>
            </w:pPr>
            <w:r w:rsidRPr="00EA4EB1">
              <w:rPr>
                <w:sz w:val="20"/>
                <w:szCs w:val="20"/>
              </w:rPr>
              <w:t>Optional:</w:t>
            </w:r>
          </w:p>
          <w:p w:rsidR="008E2B11" w:rsidRPr="00EA4EB1" w:rsidRDefault="008E2B11" w:rsidP="00EA4EB1">
            <w:pPr>
              <w:numPr>
                <w:ilvl w:val="0"/>
                <w:numId w:val="36"/>
              </w:numPr>
              <w:tabs>
                <w:tab w:val="left" w:pos="-720"/>
              </w:tabs>
              <w:suppressAutoHyphens/>
              <w:ind w:left="317" w:right="176" w:hanging="283"/>
              <w:rPr>
                <w:sz w:val="20"/>
                <w:szCs w:val="20"/>
              </w:rPr>
            </w:pPr>
            <w:r w:rsidRPr="00EA4EB1">
              <w:rPr>
                <w:sz w:val="20"/>
                <w:szCs w:val="20"/>
              </w:rPr>
              <w:t xml:space="preserve">Alexander, C. and Becker, H. (1978), The Use of Vignettes in Survey Research, </w:t>
            </w:r>
            <w:r w:rsidRPr="00EA4EB1">
              <w:rPr>
                <w:i/>
                <w:iCs/>
                <w:sz w:val="20"/>
                <w:szCs w:val="20"/>
              </w:rPr>
              <w:t>Public Opinion Quarterly</w:t>
            </w:r>
            <w:r w:rsidRPr="00EA4EB1">
              <w:rPr>
                <w:sz w:val="20"/>
                <w:szCs w:val="20"/>
              </w:rPr>
              <w:t>, 42: 93-104.</w:t>
            </w:r>
          </w:p>
          <w:p w:rsidR="008E2B11" w:rsidRPr="00EA4EB1" w:rsidRDefault="00E86290" w:rsidP="00EA4EB1">
            <w:pPr>
              <w:pStyle w:val="ListParagraph"/>
              <w:numPr>
                <w:ilvl w:val="0"/>
                <w:numId w:val="36"/>
              </w:numPr>
              <w:tabs>
                <w:tab w:val="left" w:pos="432"/>
              </w:tabs>
              <w:ind w:left="317" w:right="176" w:hanging="283"/>
              <w:rPr>
                <w:color w:val="000000"/>
                <w:sz w:val="20"/>
                <w:szCs w:val="20"/>
              </w:rPr>
            </w:pPr>
            <w:r w:rsidRPr="00EA4EB1">
              <w:rPr>
                <w:color w:val="000000"/>
                <w:sz w:val="20"/>
                <w:szCs w:val="20"/>
              </w:rPr>
              <w:t xml:space="preserve">Douglas, S.P. and Craig, C. </w:t>
            </w:r>
            <w:r w:rsidR="008E2B11" w:rsidRPr="00EA4EB1">
              <w:rPr>
                <w:color w:val="000000"/>
                <w:sz w:val="20"/>
                <w:szCs w:val="20"/>
              </w:rPr>
              <w:t xml:space="preserve">(2007), Collaborative and Iterative Translation: An Alternative Approach to Back Translation, </w:t>
            </w:r>
            <w:r w:rsidR="008E2B11" w:rsidRPr="00EA4EB1">
              <w:rPr>
                <w:i/>
                <w:color w:val="000000"/>
                <w:sz w:val="20"/>
                <w:szCs w:val="20"/>
              </w:rPr>
              <w:t>Journal of International Marketing</w:t>
            </w:r>
            <w:r w:rsidR="008E2B11" w:rsidRPr="00EA4EB1">
              <w:rPr>
                <w:color w:val="000000"/>
                <w:sz w:val="20"/>
                <w:szCs w:val="20"/>
              </w:rPr>
              <w:t xml:space="preserve">, </w:t>
            </w:r>
            <w:r w:rsidR="007C266E">
              <w:rPr>
                <w:color w:val="000000"/>
                <w:sz w:val="20"/>
                <w:szCs w:val="20"/>
              </w:rPr>
              <w:t>30-43,</w:t>
            </w:r>
          </w:p>
          <w:p w:rsidR="00E86290" w:rsidRPr="00EA4EB1" w:rsidRDefault="00E86290" w:rsidP="007C266E">
            <w:pPr>
              <w:pStyle w:val="ListParagraph"/>
              <w:numPr>
                <w:ilvl w:val="0"/>
                <w:numId w:val="36"/>
              </w:numPr>
              <w:tabs>
                <w:tab w:val="left" w:pos="432"/>
              </w:tabs>
              <w:ind w:left="317" w:right="176" w:hanging="283"/>
              <w:rPr>
                <w:color w:val="000000"/>
                <w:sz w:val="20"/>
                <w:szCs w:val="20"/>
              </w:rPr>
            </w:pPr>
            <w:r w:rsidRPr="00EA4EB1">
              <w:rPr>
                <w:color w:val="000000"/>
                <w:sz w:val="20"/>
                <w:szCs w:val="20"/>
              </w:rPr>
              <w:t>Levin, K. et al (2009), Using Cognitive Interviews to Evaluate the Spani</w:t>
            </w:r>
            <w:r w:rsidR="00320D8C">
              <w:rPr>
                <w:color w:val="000000"/>
                <w:sz w:val="20"/>
                <w:szCs w:val="20"/>
              </w:rPr>
              <w:t>s</w:t>
            </w:r>
            <w:r w:rsidRPr="00EA4EB1">
              <w:rPr>
                <w:color w:val="000000"/>
                <w:sz w:val="20"/>
                <w:szCs w:val="20"/>
              </w:rPr>
              <w:t>h-Language Translation of Diet</w:t>
            </w:r>
            <w:r w:rsidR="00DD5F78">
              <w:rPr>
                <w:color w:val="000000"/>
                <w:sz w:val="20"/>
                <w:szCs w:val="20"/>
              </w:rPr>
              <w:t>ar</w:t>
            </w:r>
            <w:r w:rsidRPr="00EA4EB1">
              <w:rPr>
                <w:color w:val="000000"/>
                <w:sz w:val="20"/>
                <w:szCs w:val="20"/>
              </w:rPr>
              <w:t xml:space="preserve">y Questionnaire, </w:t>
            </w:r>
            <w:r w:rsidRPr="00EA4EB1">
              <w:rPr>
                <w:i/>
                <w:color w:val="000000"/>
                <w:sz w:val="20"/>
                <w:szCs w:val="20"/>
              </w:rPr>
              <w:t>Survey Research Methods</w:t>
            </w:r>
            <w:r w:rsidRPr="00EA4EB1">
              <w:rPr>
                <w:color w:val="000000"/>
                <w:sz w:val="20"/>
                <w:szCs w:val="20"/>
              </w:rPr>
              <w:t>, 3(1)</w:t>
            </w:r>
            <w:r w:rsidR="007C266E">
              <w:rPr>
                <w:color w:val="000000"/>
                <w:sz w:val="20"/>
                <w:szCs w:val="20"/>
              </w:rPr>
              <w:t>: 12-25</w:t>
            </w:r>
            <w:r w:rsidRPr="00EA4EB1">
              <w:rPr>
                <w:color w:val="000000"/>
                <w:sz w:val="20"/>
                <w:szCs w:val="20"/>
              </w:rPr>
              <w:t>.</w:t>
            </w:r>
          </w:p>
        </w:tc>
      </w:tr>
    </w:tbl>
    <w:p w:rsidR="006D6FEB" w:rsidRPr="00EA4EB1" w:rsidRDefault="006D6FEB" w:rsidP="00EA4EB1">
      <w:pPr>
        <w:pStyle w:val="NormalWeb"/>
        <w:spacing w:before="0" w:beforeAutospacing="0" w:after="0" w:afterAutospacing="0"/>
        <w:ind w:left="-567" w:right="-568"/>
        <w:jc w:val="both"/>
        <w:rPr>
          <w:spacing w:val="-2"/>
          <w:sz w:val="4"/>
          <w:szCs w:val="4"/>
        </w:rPr>
      </w:pPr>
    </w:p>
    <w:sectPr w:rsidR="006D6FEB" w:rsidRPr="00EA4EB1" w:rsidSect="00143B71">
      <w:pgSz w:w="12240" w:h="15840" w:code="1"/>
      <w:pgMar w:top="1134" w:right="1797" w:bottom="113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286" w:rsidRDefault="003B7286">
      <w:pPr>
        <w:pStyle w:val="BodyTextIndent"/>
      </w:pPr>
      <w:r>
        <w:separator/>
      </w:r>
    </w:p>
  </w:endnote>
  <w:endnote w:type="continuationSeparator" w:id="0">
    <w:p w:rsidR="003B7286" w:rsidRDefault="003B7286">
      <w:pPr>
        <w:pStyle w:val="BodyTextInden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286" w:rsidRDefault="003B7286">
      <w:pPr>
        <w:pStyle w:val="BodyTextIndent"/>
      </w:pPr>
      <w:r>
        <w:separator/>
      </w:r>
    </w:p>
  </w:footnote>
  <w:footnote w:type="continuationSeparator" w:id="0">
    <w:p w:rsidR="003B7286" w:rsidRDefault="003B7286">
      <w:pPr>
        <w:pStyle w:val="BodyTextInden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A52"/>
    <w:multiLevelType w:val="hybridMultilevel"/>
    <w:tmpl w:val="2B70DCB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92C087E"/>
    <w:multiLevelType w:val="hybridMultilevel"/>
    <w:tmpl w:val="09CAF464"/>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FA3D4A"/>
    <w:multiLevelType w:val="hybridMultilevel"/>
    <w:tmpl w:val="5C7EDEDA"/>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7B682A"/>
    <w:multiLevelType w:val="hybridMultilevel"/>
    <w:tmpl w:val="B0D8DC20"/>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1935825"/>
    <w:multiLevelType w:val="hybridMultilevel"/>
    <w:tmpl w:val="79900ED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1952FDA"/>
    <w:multiLevelType w:val="hybridMultilevel"/>
    <w:tmpl w:val="6706BF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FD616C"/>
    <w:multiLevelType w:val="hybridMultilevel"/>
    <w:tmpl w:val="8B282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F6B87"/>
    <w:multiLevelType w:val="hybridMultilevel"/>
    <w:tmpl w:val="AFAABE3E"/>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83B52BC"/>
    <w:multiLevelType w:val="hybridMultilevel"/>
    <w:tmpl w:val="8156490C"/>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8911C3F"/>
    <w:multiLevelType w:val="hybridMultilevel"/>
    <w:tmpl w:val="8146EFCA"/>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91A2D9C"/>
    <w:multiLevelType w:val="hybridMultilevel"/>
    <w:tmpl w:val="D59A0EC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3F4EC0"/>
    <w:multiLevelType w:val="hybridMultilevel"/>
    <w:tmpl w:val="CE1C8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337902"/>
    <w:multiLevelType w:val="hybridMultilevel"/>
    <w:tmpl w:val="34CE4EB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C3C51E0"/>
    <w:multiLevelType w:val="hybridMultilevel"/>
    <w:tmpl w:val="8CEA6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C632645"/>
    <w:multiLevelType w:val="hybridMultilevel"/>
    <w:tmpl w:val="A9828D58"/>
    <w:lvl w:ilvl="0" w:tplc="04090001">
      <w:start w:val="1"/>
      <w:numFmt w:val="bullet"/>
      <w:lvlText w:val=""/>
      <w:lvlJc w:val="left"/>
      <w:pPr>
        <w:tabs>
          <w:tab w:val="num" w:pos="360"/>
        </w:tabs>
        <w:ind w:left="360" w:hanging="360"/>
      </w:pPr>
      <w:rPr>
        <w:rFonts w:ascii="Symbol" w:hAnsi="Symbol" w:hint="default"/>
      </w:rPr>
    </w:lvl>
    <w:lvl w:ilvl="1" w:tplc="A794550C">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EE57341"/>
    <w:multiLevelType w:val="hybridMultilevel"/>
    <w:tmpl w:val="A26CB2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0841934"/>
    <w:multiLevelType w:val="hybridMultilevel"/>
    <w:tmpl w:val="246EEB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2A24698"/>
    <w:multiLevelType w:val="hybridMultilevel"/>
    <w:tmpl w:val="BA4EFB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2B8178A"/>
    <w:multiLevelType w:val="hybridMultilevel"/>
    <w:tmpl w:val="849E2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E447B2"/>
    <w:multiLevelType w:val="hybridMultilevel"/>
    <w:tmpl w:val="CEBECB1C"/>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4F96A9B"/>
    <w:multiLevelType w:val="hybridMultilevel"/>
    <w:tmpl w:val="01103E6A"/>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1FB0B44"/>
    <w:multiLevelType w:val="hybridMultilevel"/>
    <w:tmpl w:val="DCF8C22E"/>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8005D85"/>
    <w:multiLevelType w:val="hybridMultilevel"/>
    <w:tmpl w:val="BCC8F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E97F6A"/>
    <w:multiLevelType w:val="hybridMultilevel"/>
    <w:tmpl w:val="C43CD438"/>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F0A06FB"/>
    <w:multiLevelType w:val="hybridMultilevel"/>
    <w:tmpl w:val="D462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905AC2"/>
    <w:multiLevelType w:val="hybridMultilevel"/>
    <w:tmpl w:val="31C6E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E94F69"/>
    <w:multiLevelType w:val="hybridMultilevel"/>
    <w:tmpl w:val="83DACB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19C6971"/>
    <w:multiLevelType w:val="hybridMultilevel"/>
    <w:tmpl w:val="B41897D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1F83087"/>
    <w:multiLevelType w:val="hybridMultilevel"/>
    <w:tmpl w:val="C6368F4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017668F"/>
    <w:multiLevelType w:val="hybridMultilevel"/>
    <w:tmpl w:val="7682C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9E6BF8"/>
    <w:multiLevelType w:val="hybridMultilevel"/>
    <w:tmpl w:val="D2163DCE"/>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3473EC9"/>
    <w:multiLevelType w:val="hybridMultilevel"/>
    <w:tmpl w:val="A696617E"/>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43560C1"/>
    <w:multiLevelType w:val="hybridMultilevel"/>
    <w:tmpl w:val="DB98DA42"/>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4AE7A36"/>
    <w:multiLevelType w:val="hybridMultilevel"/>
    <w:tmpl w:val="82D221FE"/>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8982CCA"/>
    <w:multiLevelType w:val="hybridMultilevel"/>
    <w:tmpl w:val="DD3A731A"/>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92549CF"/>
    <w:multiLevelType w:val="hybridMultilevel"/>
    <w:tmpl w:val="A74A6354"/>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DEA5554"/>
    <w:multiLevelType w:val="hybridMultilevel"/>
    <w:tmpl w:val="1F0A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14"/>
  </w:num>
  <w:num w:numId="4">
    <w:abstractNumId w:val="32"/>
  </w:num>
  <w:num w:numId="5">
    <w:abstractNumId w:val="16"/>
  </w:num>
  <w:num w:numId="6">
    <w:abstractNumId w:val="4"/>
  </w:num>
  <w:num w:numId="7">
    <w:abstractNumId w:val="2"/>
  </w:num>
  <w:num w:numId="8">
    <w:abstractNumId w:val="19"/>
  </w:num>
  <w:num w:numId="9">
    <w:abstractNumId w:val="26"/>
  </w:num>
  <w:num w:numId="10">
    <w:abstractNumId w:val="0"/>
  </w:num>
  <w:num w:numId="11">
    <w:abstractNumId w:val="15"/>
  </w:num>
  <w:num w:numId="12">
    <w:abstractNumId w:val="18"/>
  </w:num>
  <w:num w:numId="13">
    <w:abstractNumId w:val="6"/>
  </w:num>
  <w:num w:numId="14">
    <w:abstractNumId w:val="9"/>
  </w:num>
  <w:num w:numId="15">
    <w:abstractNumId w:val="1"/>
  </w:num>
  <w:num w:numId="16">
    <w:abstractNumId w:val="7"/>
  </w:num>
  <w:num w:numId="17">
    <w:abstractNumId w:val="30"/>
  </w:num>
  <w:num w:numId="18">
    <w:abstractNumId w:val="20"/>
  </w:num>
  <w:num w:numId="19">
    <w:abstractNumId w:val="28"/>
  </w:num>
  <w:num w:numId="20">
    <w:abstractNumId w:val="3"/>
  </w:num>
  <w:num w:numId="21">
    <w:abstractNumId w:val="33"/>
  </w:num>
  <w:num w:numId="22">
    <w:abstractNumId w:val="23"/>
  </w:num>
  <w:num w:numId="23">
    <w:abstractNumId w:val="31"/>
  </w:num>
  <w:num w:numId="24">
    <w:abstractNumId w:val="21"/>
  </w:num>
  <w:num w:numId="25">
    <w:abstractNumId w:val="35"/>
  </w:num>
  <w:num w:numId="26">
    <w:abstractNumId w:val="8"/>
  </w:num>
  <w:num w:numId="27">
    <w:abstractNumId w:val="10"/>
  </w:num>
  <w:num w:numId="28">
    <w:abstractNumId w:val="34"/>
  </w:num>
  <w:num w:numId="29">
    <w:abstractNumId w:val="25"/>
  </w:num>
  <w:num w:numId="30">
    <w:abstractNumId w:val="12"/>
  </w:num>
  <w:num w:numId="31">
    <w:abstractNumId w:val="24"/>
  </w:num>
  <w:num w:numId="32">
    <w:abstractNumId w:val="17"/>
  </w:num>
  <w:num w:numId="33">
    <w:abstractNumId w:val="36"/>
  </w:num>
  <w:num w:numId="34">
    <w:abstractNumId w:val="11"/>
  </w:num>
  <w:num w:numId="35">
    <w:abstractNumId w:val="13"/>
  </w:num>
  <w:num w:numId="36">
    <w:abstractNumId w:val="22"/>
  </w:num>
  <w:num w:numId="37">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3A"/>
    <w:rsid w:val="00016261"/>
    <w:rsid w:val="00033B4D"/>
    <w:rsid w:val="000357D6"/>
    <w:rsid w:val="0004023B"/>
    <w:rsid w:val="00053DF0"/>
    <w:rsid w:val="00062FC9"/>
    <w:rsid w:val="00076F5B"/>
    <w:rsid w:val="00077DE2"/>
    <w:rsid w:val="00082E3A"/>
    <w:rsid w:val="00085A38"/>
    <w:rsid w:val="0009018B"/>
    <w:rsid w:val="000A37E2"/>
    <w:rsid w:val="000A62D5"/>
    <w:rsid w:val="000B27A4"/>
    <w:rsid w:val="000B3AC9"/>
    <w:rsid w:val="000C0B64"/>
    <w:rsid w:val="000E1D05"/>
    <w:rsid w:val="000E55EC"/>
    <w:rsid w:val="0011768D"/>
    <w:rsid w:val="00137C66"/>
    <w:rsid w:val="00143B71"/>
    <w:rsid w:val="00143DEA"/>
    <w:rsid w:val="00171B6F"/>
    <w:rsid w:val="001A4942"/>
    <w:rsid w:val="001B7258"/>
    <w:rsid w:val="001C04FB"/>
    <w:rsid w:val="001C3BDF"/>
    <w:rsid w:val="001D0095"/>
    <w:rsid w:val="001D440E"/>
    <w:rsid w:val="00201873"/>
    <w:rsid w:val="00203C3A"/>
    <w:rsid w:val="00211B86"/>
    <w:rsid w:val="00213B43"/>
    <w:rsid w:val="00230437"/>
    <w:rsid w:val="0028330F"/>
    <w:rsid w:val="00294272"/>
    <w:rsid w:val="002B1DE6"/>
    <w:rsid w:val="003065BE"/>
    <w:rsid w:val="00310409"/>
    <w:rsid w:val="00320D8C"/>
    <w:rsid w:val="003550E4"/>
    <w:rsid w:val="0037472B"/>
    <w:rsid w:val="00394F37"/>
    <w:rsid w:val="003B7286"/>
    <w:rsid w:val="003C1C6C"/>
    <w:rsid w:val="00406654"/>
    <w:rsid w:val="004321FF"/>
    <w:rsid w:val="00440542"/>
    <w:rsid w:val="004512F7"/>
    <w:rsid w:val="00460FA4"/>
    <w:rsid w:val="00493F05"/>
    <w:rsid w:val="004C36F2"/>
    <w:rsid w:val="004E4BE7"/>
    <w:rsid w:val="0050600A"/>
    <w:rsid w:val="005237C9"/>
    <w:rsid w:val="00530E7C"/>
    <w:rsid w:val="005343B7"/>
    <w:rsid w:val="00562374"/>
    <w:rsid w:val="005623E7"/>
    <w:rsid w:val="005762CD"/>
    <w:rsid w:val="005949F6"/>
    <w:rsid w:val="005B0A64"/>
    <w:rsid w:val="005C53D6"/>
    <w:rsid w:val="005C762E"/>
    <w:rsid w:val="005E38A0"/>
    <w:rsid w:val="005E4A87"/>
    <w:rsid w:val="00605088"/>
    <w:rsid w:val="00614622"/>
    <w:rsid w:val="00626242"/>
    <w:rsid w:val="006315AC"/>
    <w:rsid w:val="00635FEF"/>
    <w:rsid w:val="00652686"/>
    <w:rsid w:val="00672132"/>
    <w:rsid w:val="0067432E"/>
    <w:rsid w:val="00674DC1"/>
    <w:rsid w:val="00693F56"/>
    <w:rsid w:val="006A5550"/>
    <w:rsid w:val="006C718D"/>
    <w:rsid w:val="006D424E"/>
    <w:rsid w:val="006D6FEB"/>
    <w:rsid w:val="006E01A1"/>
    <w:rsid w:val="006E36B2"/>
    <w:rsid w:val="006E6095"/>
    <w:rsid w:val="00704832"/>
    <w:rsid w:val="007135B2"/>
    <w:rsid w:val="00713A36"/>
    <w:rsid w:val="00716510"/>
    <w:rsid w:val="0072162A"/>
    <w:rsid w:val="00721807"/>
    <w:rsid w:val="00740281"/>
    <w:rsid w:val="0075002E"/>
    <w:rsid w:val="00757968"/>
    <w:rsid w:val="00762A2F"/>
    <w:rsid w:val="0077645D"/>
    <w:rsid w:val="007819FF"/>
    <w:rsid w:val="00790CF6"/>
    <w:rsid w:val="007A1A6C"/>
    <w:rsid w:val="007C2096"/>
    <w:rsid w:val="007C266E"/>
    <w:rsid w:val="007F2647"/>
    <w:rsid w:val="007F570B"/>
    <w:rsid w:val="00802CD5"/>
    <w:rsid w:val="00833664"/>
    <w:rsid w:val="0083553C"/>
    <w:rsid w:val="008366FA"/>
    <w:rsid w:val="008415E0"/>
    <w:rsid w:val="00853DE8"/>
    <w:rsid w:val="008703B3"/>
    <w:rsid w:val="0087161A"/>
    <w:rsid w:val="00883D67"/>
    <w:rsid w:val="00897E6F"/>
    <w:rsid w:val="008B3878"/>
    <w:rsid w:val="008C5E2F"/>
    <w:rsid w:val="008E2B11"/>
    <w:rsid w:val="008E2C3F"/>
    <w:rsid w:val="008F0089"/>
    <w:rsid w:val="008F255F"/>
    <w:rsid w:val="00903426"/>
    <w:rsid w:val="0090614D"/>
    <w:rsid w:val="009260C9"/>
    <w:rsid w:val="009308CB"/>
    <w:rsid w:val="009342D6"/>
    <w:rsid w:val="0094127C"/>
    <w:rsid w:val="009D7E09"/>
    <w:rsid w:val="009F539A"/>
    <w:rsid w:val="00A1325D"/>
    <w:rsid w:val="00A16B92"/>
    <w:rsid w:val="00A24776"/>
    <w:rsid w:val="00A258FD"/>
    <w:rsid w:val="00A33C06"/>
    <w:rsid w:val="00A626F0"/>
    <w:rsid w:val="00A71CA5"/>
    <w:rsid w:val="00A8575E"/>
    <w:rsid w:val="00A9290B"/>
    <w:rsid w:val="00A92EBB"/>
    <w:rsid w:val="00A95088"/>
    <w:rsid w:val="00AA5026"/>
    <w:rsid w:val="00AA509A"/>
    <w:rsid w:val="00AD5EE7"/>
    <w:rsid w:val="00AE0CDB"/>
    <w:rsid w:val="00B30D9C"/>
    <w:rsid w:val="00B8298C"/>
    <w:rsid w:val="00BA1168"/>
    <w:rsid w:val="00BB0991"/>
    <w:rsid w:val="00BB7720"/>
    <w:rsid w:val="00BC1A51"/>
    <w:rsid w:val="00BC24BD"/>
    <w:rsid w:val="00BD4D1F"/>
    <w:rsid w:val="00BD7BDA"/>
    <w:rsid w:val="00BE547F"/>
    <w:rsid w:val="00C27045"/>
    <w:rsid w:val="00C777D7"/>
    <w:rsid w:val="00C91FC5"/>
    <w:rsid w:val="00C94514"/>
    <w:rsid w:val="00CB530D"/>
    <w:rsid w:val="00CC03ED"/>
    <w:rsid w:val="00CE5963"/>
    <w:rsid w:val="00CE68D6"/>
    <w:rsid w:val="00CF0C3C"/>
    <w:rsid w:val="00D05976"/>
    <w:rsid w:val="00D0623D"/>
    <w:rsid w:val="00D2694B"/>
    <w:rsid w:val="00D33CB7"/>
    <w:rsid w:val="00D44E60"/>
    <w:rsid w:val="00D50601"/>
    <w:rsid w:val="00D6478D"/>
    <w:rsid w:val="00D86F71"/>
    <w:rsid w:val="00D925BF"/>
    <w:rsid w:val="00D96E08"/>
    <w:rsid w:val="00DA3A86"/>
    <w:rsid w:val="00DA3D2C"/>
    <w:rsid w:val="00DB7953"/>
    <w:rsid w:val="00DC736F"/>
    <w:rsid w:val="00DD5F78"/>
    <w:rsid w:val="00DF04A4"/>
    <w:rsid w:val="00E31F91"/>
    <w:rsid w:val="00E50FF2"/>
    <w:rsid w:val="00E62B80"/>
    <w:rsid w:val="00E7583F"/>
    <w:rsid w:val="00E760AE"/>
    <w:rsid w:val="00E86290"/>
    <w:rsid w:val="00E94751"/>
    <w:rsid w:val="00EA4EB1"/>
    <w:rsid w:val="00EB4C4A"/>
    <w:rsid w:val="00EB61B4"/>
    <w:rsid w:val="00EC2ACB"/>
    <w:rsid w:val="00EE7503"/>
    <w:rsid w:val="00EF0931"/>
    <w:rsid w:val="00F11125"/>
    <w:rsid w:val="00F23FFA"/>
    <w:rsid w:val="00F419BD"/>
    <w:rsid w:val="00F47856"/>
    <w:rsid w:val="00F70751"/>
    <w:rsid w:val="00F73D2B"/>
    <w:rsid w:val="00F81E40"/>
    <w:rsid w:val="00F8626D"/>
    <w:rsid w:val="00FB7479"/>
    <w:rsid w:val="00FD4349"/>
    <w:rsid w:val="00FD61DF"/>
    <w:rsid w:val="00FE3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84C975-7DD6-41EF-AE28-F101678E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1440"/>
        <w:tab w:val="left" w:pos="-720"/>
        <w:tab w:val="left" w:pos="0"/>
        <w:tab w:val="left" w:pos="918"/>
        <w:tab w:val="left" w:pos="1224"/>
        <w:tab w:val="left" w:pos="1530"/>
        <w:tab w:val="left" w:pos="1836"/>
        <w:tab w:val="left" w:pos="2160"/>
      </w:tabs>
      <w:suppressAutoHyphens/>
      <w:jc w:val="center"/>
      <w:outlineLvl w:val="0"/>
    </w:pPr>
    <w:rPr>
      <w:b/>
      <w:bCs/>
      <w:sz w:val="28"/>
      <w:szCs w:val="20"/>
      <w:lang w:val="en-US"/>
    </w:rPr>
  </w:style>
  <w:style w:type="paragraph" w:styleId="Heading2">
    <w:name w:val="heading 2"/>
    <w:basedOn w:val="Normal"/>
    <w:next w:val="Normal"/>
    <w:qFormat/>
    <w:pPr>
      <w:keepNext/>
      <w:outlineLvl w:val="1"/>
    </w:pPr>
    <w:rPr>
      <w:b/>
      <w:bCs/>
      <w:sz w:val="20"/>
      <w:szCs w:val="20"/>
      <w:lang w:val="en-US"/>
    </w:rPr>
  </w:style>
  <w:style w:type="paragraph" w:styleId="Heading3">
    <w:name w:val="heading 3"/>
    <w:basedOn w:val="Normal"/>
    <w:next w:val="Normal"/>
    <w:qFormat/>
    <w:pPr>
      <w:keepNext/>
      <w:ind w:left="-108"/>
      <w:jc w:val="center"/>
      <w:outlineLvl w:val="2"/>
    </w:pPr>
    <w:rPr>
      <w:b/>
      <w:bCs/>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tabs>
        <w:tab w:val="left" w:pos="277"/>
      </w:tabs>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Indent">
    <w:name w:val="Body Text Indent"/>
    <w:basedOn w:val="Normal"/>
    <w:pPr>
      <w:tabs>
        <w:tab w:val="left" w:pos="720"/>
      </w:tabs>
      <w:ind w:left="720" w:hanging="720"/>
    </w:pPr>
  </w:style>
  <w:style w:type="paragraph" w:styleId="BodyTextIndent2">
    <w:name w:val="Body Text Indent 2"/>
    <w:basedOn w:val="Normal"/>
    <w:link w:val="BodyTextIndent2Char"/>
    <w:pPr>
      <w:ind w:left="720"/>
    </w:pPr>
  </w:style>
  <w:style w:type="paragraph" w:styleId="BodyText">
    <w:name w:val="Body Text"/>
    <w:basedOn w:val="Normal"/>
    <w:pPr>
      <w:tabs>
        <w:tab w:val="left" w:pos="-720"/>
        <w:tab w:val="left" w:pos="0"/>
      </w:tabs>
      <w:suppressAutoHyphens/>
    </w:pPr>
    <w:rPr>
      <w:b/>
      <w:bCs/>
      <w:spacing w:val="-2"/>
    </w:rPr>
  </w:style>
  <w:style w:type="paragraph" w:styleId="Title">
    <w:name w:val="Title"/>
    <w:basedOn w:val="Normal"/>
    <w:qFormat/>
    <w:pPr>
      <w:tabs>
        <w:tab w:val="left" w:pos="-1440"/>
        <w:tab w:val="left" w:pos="-720"/>
        <w:tab w:val="left" w:pos="0"/>
        <w:tab w:val="left" w:pos="918"/>
        <w:tab w:val="left" w:pos="1224"/>
        <w:tab w:val="left" w:pos="1530"/>
        <w:tab w:val="left" w:pos="1836"/>
        <w:tab w:val="left" w:pos="2160"/>
      </w:tabs>
      <w:suppressAutoHyphens/>
      <w:jc w:val="center"/>
    </w:pPr>
    <w:rPr>
      <w:b/>
      <w:bCs/>
      <w:sz w:val="40"/>
    </w:rPr>
  </w:style>
  <w:style w:type="paragraph" w:styleId="NormalWeb">
    <w:name w:val="Normal (Web)"/>
    <w:basedOn w:val="Normal"/>
    <w:uiPriority w:val="99"/>
    <w:pPr>
      <w:spacing w:before="100" w:beforeAutospacing="1" w:after="100" w:afterAutospacing="1"/>
    </w:pPr>
    <w:rPr>
      <w:lang w:val="en-US"/>
    </w:r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paragraph" w:styleId="BodyTextIndent3">
    <w:name w:val="Body Text Indent 3"/>
    <w:basedOn w:val="Normal"/>
    <w:pPr>
      <w:ind w:left="-108"/>
    </w:pPr>
  </w:style>
  <w:style w:type="paragraph" w:styleId="FootnoteText">
    <w:name w:val="footnote text"/>
    <w:basedOn w:val="Normal"/>
    <w:semiHidden/>
    <w:rPr>
      <w:sz w:val="20"/>
      <w:szCs w:val="20"/>
      <w:lang w:val="en-US"/>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b/>
      <w:bCs/>
      <w:sz w:val="22"/>
    </w:rPr>
  </w:style>
  <w:style w:type="paragraph" w:styleId="BodyText3">
    <w:name w:val="Body Text 3"/>
    <w:basedOn w:val="Normal"/>
    <w:rPr>
      <w:color w:val="FF0000"/>
    </w:rPr>
  </w:style>
  <w:style w:type="character" w:customStyle="1" w:styleId="EmailStyle30">
    <w:name w:val="EmailStyle30"/>
    <w:basedOn w:val="DefaultParagraphFont"/>
    <w:semiHidden/>
    <w:rsid w:val="00626242"/>
    <w:rPr>
      <w:rFonts w:ascii="Arial" w:hAnsi="Arial" w:cs="Arial"/>
      <w:color w:val="000080"/>
      <w:sz w:val="20"/>
      <w:szCs w:val="20"/>
    </w:rPr>
  </w:style>
  <w:style w:type="paragraph" w:styleId="ListParagraph">
    <w:name w:val="List Paragraph"/>
    <w:basedOn w:val="Normal"/>
    <w:uiPriority w:val="34"/>
    <w:qFormat/>
    <w:rsid w:val="00CC03ED"/>
    <w:pPr>
      <w:ind w:left="720"/>
      <w:contextualSpacing/>
    </w:pPr>
  </w:style>
  <w:style w:type="character" w:customStyle="1" w:styleId="BodyTextIndent2Char">
    <w:name w:val="Body Text Indent 2 Char"/>
    <w:basedOn w:val="DefaultParagraphFont"/>
    <w:link w:val="BodyTextIndent2"/>
    <w:rsid w:val="00DA3A8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5964">
      <w:bodyDiv w:val="1"/>
      <w:marLeft w:val="0"/>
      <w:marRight w:val="0"/>
      <w:marTop w:val="0"/>
      <w:marBottom w:val="0"/>
      <w:divBdr>
        <w:top w:val="none" w:sz="0" w:space="0" w:color="auto"/>
        <w:left w:val="none" w:sz="0" w:space="0" w:color="auto"/>
        <w:bottom w:val="none" w:sz="0" w:space="0" w:color="auto"/>
        <w:right w:val="none" w:sz="0" w:space="0" w:color="auto"/>
      </w:divBdr>
    </w:div>
    <w:div w:id="353189577">
      <w:bodyDiv w:val="1"/>
      <w:marLeft w:val="0"/>
      <w:marRight w:val="0"/>
      <w:marTop w:val="0"/>
      <w:marBottom w:val="0"/>
      <w:divBdr>
        <w:top w:val="none" w:sz="0" w:space="0" w:color="auto"/>
        <w:left w:val="none" w:sz="0" w:space="0" w:color="auto"/>
        <w:bottom w:val="none" w:sz="0" w:space="0" w:color="auto"/>
        <w:right w:val="none" w:sz="0" w:space="0" w:color="auto"/>
      </w:divBdr>
    </w:div>
    <w:div w:id="685980614">
      <w:bodyDiv w:val="1"/>
      <w:marLeft w:val="0"/>
      <w:marRight w:val="0"/>
      <w:marTop w:val="0"/>
      <w:marBottom w:val="0"/>
      <w:divBdr>
        <w:top w:val="none" w:sz="0" w:space="0" w:color="auto"/>
        <w:left w:val="none" w:sz="0" w:space="0" w:color="auto"/>
        <w:bottom w:val="none" w:sz="0" w:space="0" w:color="auto"/>
        <w:right w:val="none" w:sz="0" w:space="0" w:color="auto"/>
      </w:divBdr>
    </w:div>
    <w:div w:id="1147473912">
      <w:bodyDiv w:val="1"/>
      <w:marLeft w:val="0"/>
      <w:marRight w:val="0"/>
      <w:marTop w:val="0"/>
      <w:marBottom w:val="0"/>
      <w:divBdr>
        <w:top w:val="none" w:sz="0" w:space="0" w:color="auto"/>
        <w:left w:val="none" w:sz="0" w:space="0" w:color="auto"/>
        <w:bottom w:val="none" w:sz="0" w:space="0" w:color="auto"/>
        <w:right w:val="none" w:sz="0" w:space="0" w:color="auto"/>
      </w:divBdr>
    </w:div>
    <w:div w:id="1332871252">
      <w:bodyDiv w:val="1"/>
      <w:marLeft w:val="0"/>
      <w:marRight w:val="0"/>
      <w:marTop w:val="0"/>
      <w:marBottom w:val="0"/>
      <w:divBdr>
        <w:top w:val="none" w:sz="0" w:space="0" w:color="auto"/>
        <w:left w:val="none" w:sz="0" w:space="0" w:color="auto"/>
        <w:bottom w:val="none" w:sz="0" w:space="0" w:color="auto"/>
        <w:right w:val="none" w:sz="0" w:space="0" w:color="auto"/>
      </w:divBdr>
    </w:div>
    <w:div w:id="1805152090">
      <w:bodyDiv w:val="1"/>
      <w:marLeft w:val="0"/>
      <w:marRight w:val="0"/>
      <w:marTop w:val="0"/>
      <w:marBottom w:val="0"/>
      <w:divBdr>
        <w:top w:val="none" w:sz="0" w:space="0" w:color="auto"/>
        <w:left w:val="none" w:sz="0" w:space="0" w:color="auto"/>
        <w:bottom w:val="none" w:sz="0" w:space="0" w:color="auto"/>
        <w:right w:val="none" w:sz="0" w:space="0" w:color="auto"/>
      </w:divBdr>
      <w:divsChild>
        <w:div w:id="809784592">
          <w:marLeft w:val="0"/>
          <w:marRight w:val="0"/>
          <w:marTop w:val="0"/>
          <w:marBottom w:val="0"/>
          <w:divBdr>
            <w:top w:val="none" w:sz="0" w:space="0" w:color="auto"/>
            <w:left w:val="none" w:sz="0" w:space="0" w:color="auto"/>
            <w:bottom w:val="none" w:sz="0" w:space="0" w:color="auto"/>
            <w:right w:val="none" w:sz="0" w:space="0" w:color="auto"/>
          </w:divBdr>
          <w:divsChild>
            <w:div w:id="6314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7231">
      <w:bodyDiv w:val="1"/>
      <w:marLeft w:val="0"/>
      <w:marRight w:val="0"/>
      <w:marTop w:val="0"/>
      <w:marBottom w:val="0"/>
      <w:divBdr>
        <w:top w:val="none" w:sz="0" w:space="0" w:color="auto"/>
        <w:left w:val="none" w:sz="0" w:space="0" w:color="auto"/>
        <w:bottom w:val="none" w:sz="0" w:space="0" w:color="auto"/>
        <w:right w:val="none" w:sz="0" w:space="0" w:color="auto"/>
      </w:divBdr>
    </w:div>
    <w:div w:id="190456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pamela.campanelli@thesurveycoa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tools.umich.edu/gate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C02DA-4101-4CB9-AA27-61442A46D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5931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Syllabus for Questionnaire Design</vt:lpstr>
    </vt:vector>
  </TitlesOfParts>
  <Company>HP</Company>
  <LinksUpToDate>false</LinksUpToDate>
  <CharactersWithSpaces>6958</CharactersWithSpaces>
  <SharedDoc>false</SharedDoc>
  <HLinks>
    <vt:vector size="54" baseType="variant">
      <vt:variant>
        <vt:i4>196667</vt:i4>
      </vt:variant>
      <vt:variant>
        <vt:i4>24</vt:i4>
      </vt:variant>
      <vt:variant>
        <vt:i4>0</vt:i4>
      </vt:variant>
      <vt:variant>
        <vt:i4>5</vt:i4>
      </vt:variant>
      <vt:variant>
        <vt:lpwstr>mailto:dr.pamela.campanelli@thesurveycoach.com</vt:lpwstr>
      </vt:variant>
      <vt:variant>
        <vt:lpwstr/>
      </vt:variant>
      <vt:variant>
        <vt:i4>327806</vt:i4>
      </vt:variant>
      <vt:variant>
        <vt:i4>21</vt:i4>
      </vt:variant>
      <vt:variant>
        <vt:i4>0</vt:i4>
      </vt:variant>
      <vt:variant>
        <vt:i4>5</vt:i4>
      </vt:variant>
      <vt:variant>
        <vt:lpwstr>mailto:rodperk@isr.umich.edu</vt:lpwstr>
      </vt:variant>
      <vt:variant>
        <vt:lpwstr/>
      </vt:variant>
      <vt:variant>
        <vt:i4>917509</vt:i4>
      </vt:variant>
      <vt:variant>
        <vt:i4>18</vt:i4>
      </vt:variant>
      <vt:variant>
        <vt:i4>0</vt:i4>
      </vt:variant>
      <vt:variant>
        <vt:i4>5</vt:i4>
      </vt:variant>
      <vt:variant>
        <vt:lpwstr>http://ctools.umich.edu/</vt:lpwstr>
      </vt:variant>
      <vt:variant>
        <vt:lpwstr/>
      </vt:variant>
      <vt:variant>
        <vt:i4>4653066</vt:i4>
      </vt:variant>
      <vt:variant>
        <vt:i4>15</vt:i4>
      </vt:variant>
      <vt:variant>
        <vt:i4>0</vt:i4>
      </vt:variant>
      <vt:variant>
        <vt:i4>5</vt:i4>
      </vt:variant>
      <vt:variant>
        <vt:lpwstr>https://friend.weblogin.umich.edu/friend/</vt:lpwstr>
      </vt:variant>
      <vt:variant>
        <vt:lpwstr/>
      </vt:variant>
      <vt:variant>
        <vt:i4>196667</vt:i4>
      </vt:variant>
      <vt:variant>
        <vt:i4>12</vt:i4>
      </vt:variant>
      <vt:variant>
        <vt:i4>0</vt:i4>
      </vt:variant>
      <vt:variant>
        <vt:i4>5</vt:i4>
      </vt:variant>
      <vt:variant>
        <vt:lpwstr>mailto:dr.pamela.campanelli@thesurveycoach.com</vt:lpwstr>
      </vt:variant>
      <vt:variant>
        <vt:lpwstr/>
      </vt:variant>
      <vt:variant>
        <vt:i4>327806</vt:i4>
      </vt:variant>
      <vt:variant>
        <vt:i4>9</vt:i4>
      </vt:variant>
      <vt:variant>
        <vt:i4>0</vt:i4>
      </vt:variant>
      <vt:variant>
        <vt:i4>5</vt:i4>
      </vt:variant>
      <vt:variant>
        <vt:lpwstr>mailto:rodperk@isr.umich.edu</vt:lpwstr>
      </vt:variant>
      <vt:variant>
        <vt:lpwstr/>
      </vt:variant>
      <vt:variant>
        <vt:i4>917509</vt:i4>
      </vt:variant>
      <vt:variant>
        <vt:i4>6</vt:i4>
      </vt:variant>
      <vt:variant>
        <vt:i4>0</vt:i4>
      </vt:variant>
      <vt:variant>
        <vt:i4>5</vt:i4>
      </vt:variant>
      <vt:variant>
        <vt:lpwstr>http://ctools.umich.edu/</vt:lpwstr>
      </vt:variant>
      <vt:variant>
        <vt:lpwstr/>
      </vt:variant>
      <vt:variant>
        <vt:i4>7077968</vt:i4>
      </vt:variant>
      <vt:variant>
        <vt:i4>3</vt:i4>
      </vt:variant>
      <vt:variant>
        <vt:i4>0</vt:i4>
      </vt:variant>
      <vt:variant>
        <vt:i4>5</vt:i4>
      </vt:variant>
      <vt:variant>
        <vt:lpwstr>mailto:jsbroome@umich.edu</vt:lpwstr>
      </vt:variant>
      <vt:variant>
        <vt:lpwstr/>
      </vt:variant>
      <vt:variant>
        <vt:i4>196667</vt:i4>
      </vt:variant>
      <vt:variant>
        <vt:i4>0</vt:i4>
      </vt:variant>
      <vt:variant>
        <vt:i4>0</vt:i4>
      </vt:variant>
      <vt:variant>
        <vt:i4>5</vt:i4>
      </vt:variant>
      <vt:variant>
        <vt:lpwstr>mailto:dr.pamela.campanelli@thesurveycoach.com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Questionnaire Design</dc:title>
  <dc:creator>Pamela Campanelli</dc:creator>
  <cp:lastModifiedBy>Patricia Gregory</cp:lastModifiedBy>
  <cp:revision>2</cp:revision>
  <cp:lastPrinted>2008-05-25T10:48:00Z</cp:lastPrinted>
  <dcterms:created xsi:type="dcterms:W3CDTF">2020-12-17T15:04:00Z</dcterms:created>
  <dcterms:modified xsi:type="dcterms:W3CDTF">2020-12-17T15:04:00Z</dcterms:modified>
</cp:coreProperties>
</file>